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7BA" w:rsidRPr="005773AE" w:rsidRDefault="00AB67BA" w:rsidP="00AB67BA">
      <w:pPr>
        <w:pStyle w:val="Heading3"/>
        <w:jc w:val="center"/>
        <w:rPr>
          <w:rFonts w:asciiTheme="minorHAnsi" w:hAnsiTheme="minorHAnsi" w:cs="Arial"/>
          <w:color w:val="373246"/>
          <w:sz w:val="22"/>
          <w:szCs w:val="22"/>
        </w:rPr>
      </w:pPr>
      <w:r w:rsidRPr="005773AE">
        <w:rPr>
          <w:rFonts w:asciiTheme="minorHAnsi" w:hAnsiTheme="minorHAnsi" w:cs="Arial"/>
          <w:color w:val="373246"/>
          <w:sz w:val="22"/>
          <w:szCs w:val="22"/>
        </w:rPr>
        <w:t xml:space="preserve">Terms of reference </w:t>
      </w:r>
      <w:r w:rsidR="005773AE" w:rsidRPr="005773AE">
        <w:rPr>
          <w:rFonts w:asciiTheme="minorHAnsi" w:hAnsiTheme="minorHAnsi" w:cs="Arial"/>
          <w:color w:val="373246"/>
          <w:sz w:val="22"/>
          <w:szCs w:val="22"/>
        </w:rPr>
        <w:t>Solvency II Project Team</w:t>
      </w:r>
      <w:r w:rsidR="005773AE" w:rsidRPr="005773AE">
        <w:rPr>
          <w:rFonts w:asciiTheme="minorHAnsi" w:hAnsiTheme="minorHAnsi" w:cs="Arial"/>
          <w:color w:val="373246"/>
          <w:sz w:val="22"/>
          <w:szCs w:val="22"/>
        </w:rPr>
        <w:br/>
        <w:t>and working groups</w:t>
      </w:r>
    </w:p>
    <w:p w:rsidR="00AB67BA" w:rsidRPr="005773AE" w:rsidRDefault="00AB67BA" w:rsidP="00A37DE3">
      <w:pPr>
        <w:pStyle w:val="Heading3"/>
        <w:rPr>
          <w:rFonts w:asciiTheme="minorHAnsi" w:hAnsiTheme="minorHAnsi" w:cs="Arial"/>
          <w:color w:val="373246"/>
          <w:sz w:val="22"/>
          <w:szCs w:val="22"/>
        </w:rPr>
      </w:pPr>
    </w:p>
    <w:p w:rsidR="00AB67BA" w:rsidRPr="005773AE" w:rsidRDefault="00AB67BA">
      <w:pPr>
        <w:spacing w:line="240" w:lineRule="auto"/>
        <w:rPr>
          <w:rFonts w:asciiTheme="minorHAnsi" w:hAnsiTheme="minorHAnsi" w:cs="Arial"/>
          <w:b/>
          <w:snapToGrid w:val="0"/>
          <w:color w:val="373246"/>
          <w:sz w:val="22"/>
          <w:szCs w:val="22"/>
          <w:lang w:eastAsia="en-US"/>
        </w:rPr>
      </w:pPr>
    </w:p>
    <w:p w:rsidR="005773AE" w:rsidRPr="005773AE" w:rsidRDefault="005773AE" w:rsidP="005773AE">
      <w:pPr>
        <w:spacing w:before="100" w:beforeAutospacing="1" w:after="100" w:afterAutospacing="1" w:line="240" w:lineRule="auto"/>
        <w:rPr>
          <w:rFonts w:asciiTheme="minorHAnsi" w:hAnsiTheme="minorHAnsi" w:cs="Arial"/>
          <w:color w:val="373246"/>
          <w:sz w:val="22"/>
          <w:szCs w:val="22"/>
          <w:lang w:val="en-US" w:eastAsia="en-US"/>
        </w:rPr>
      </w:pPr>
      <w:bookmarkStart w:id="0" w:name="1"/>
      <w:bookmarkEnd w:id="0"/>
      <w:r w:rsidRPr="005773AE">
        <w:rPr>
          <w:rFonts w:asciiTheme="minorHAnsi" w:hAnsiTheme="minorHAnsi" w:cs="Arial"/>
          <w:color w:val="373246"/>
          <w:sz w:val="22"/>
          <w:szCs w:val="22"/>
          <w:u w:val="single"/>
          <w:lang w:val="en-US" w:eastAsia="en-US"/>
        </w:rPr>
        <w:t>1. Project Overview</w:t>
      </w:r>
    </w:p>
    <w:p w:rsidR="005773AE" w:rsidRPr="005773AE" w:rsidRDefault="005773AE" w:rsidP="005773AE">
      <w:p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With Solvency II operational from the start of 2016 the original Solvency II project of the AAE has fulfilled its role. The AAE is thankful for all project managers and sponsors, chairs of the working groups and all actuaries involved in the project over the years. The project has greatly influenced the successful completion of Solvency II and also achieved for actuaries and the AAE a prominent role in the Solvency II world.</w:t>
      </w:r>
    </w:p>
    <w:p w:rsidR="005773AE" w:rsidRPr="005773AE" w:rsidRDefault="005773AE" w:rsidP="005773AE">
      <w:p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While Solvency II could be considered as a fait accompli, there are several areas where its functioning needs actuarial expertise also after January 2016. There are still some outstanding issues but also Solvency II will be further developed not only according to the review clauses of the framework directive but also in the continuing work of EIOPA. Also global initiatives (ICS, IFRS, etc.) need to be taken in to account in keeping Solvency II up to date.</w:t>
      </w:r>
    </w:p>
    <w:p w:rsidR="005773AE" w:rsidRPr="005773AE" w:rsidRDefault="005773AE" w:rsidP="005773AE">
      <w:p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Ongoing activities include, inter alia:</w:t>
      </w:r>
    </w:p>
    <w:p w:rsidR="005773AE" w:rsidRPr="005773AE" w:rsidRDefault="005773AE" w:rsidP="005773AE">
      <w:pPr>
        <w:numPr>
          <w:ilvl w:val="0"/>
          <w:numId w:val="21"/>
        </w:num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assessment of underlying assumptions for the calculation of the SCR,</w:t>
      </w:r>
    </w:p>
    <w:p w:rsidR="005773AE" w:rsidRPr="005773AE" w:rsidRDefault="005773AE" w:rsidP="005773AE">
      <w:pPr>
        <w:numPr>
          <w:ilvl w:val="0"/>
          <w:numId w:val="21"/>
        </w:num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assessment of underlying assumptions for the LTG measures,</w:t>
      </w:r>
    </w:p>
    <w:p w:rsidR="005773AE" w:rsidRPr="005773AE" w:rsidRDefault="005773AE" w:rsidP="005773AE">
      <w:pPr>
        <w:numPr>
          <w:ilvl w:val="0"/>
          <w:numId w:val="21"/>
        </w:num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validation, data quality, actuarial function report,</w:t>
      </w:r>
    </w:p>
    <w:p w:rsidR="005773AE" w:rsidRPr="005773AE" w:rsidRDefault="005773AE" w:rsidP="005773AE">
      <w:pPr>
        <w:numPr>
          <w:ilvl w:val="0"/>
          <w:numId w:val="21"/>
        </w:num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preparing for the reviews according to the framework directive,</w:t>
      </w:r>
    </w:p>
    <w:p w:rsidR="005773AE" w:rsidRPr="005773AE" w:rsidRDefault="005773AE" w:rsidP="005773AE">
      <w:pPr>
        <w:numPr>
          <w:ilvl w:val="0"/>
          <w:numId w:val="21"/>
        </w:num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assuring full harmonization in supervisory measures, like the application of capital add-ons,</w:t>
      </w:r>
    </w:p>
    <w:p w:rsidR="005773AE" w:rsidRPr="005773AE" w:rsidRDefault="005773AE" w:rsidP="005773AE">
      <w:pPr>
        <w:numPr>
          <w:ilvl w:val="0"/>
          <w:numId w:val="21"/>
        </w:num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etc.</w:t>
      </w:r>
    </w:p>
    <w:p w:rsidR="005773AE" w:rsidRPr="005773AE" w:rsidRDefault="005773AE" w:rsidP="005773AE">
      <w:p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In addition to this there are ad hoc activities, including</w:t>
      </w:r>
    </w:p>
    <w:p w:rsidR="005773AE" w:rsidRPr="005773AE" w:rsidRDefault="005773AE" w:rsidP="005773AE">
      <w:pPr>
        <w:numPr>
          <w:ilvl w:val="0"/>
          <w:numId w:val="22"/>
        </w:num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consultation papers from EIOPA, calls for advice by the Commission,</w:t>
      </w:r>
    </w:p>
    <w:p w:rsidR="005773AE" w:rsidRPr="005773AE" w:rsidRDefault="005773AE" w:rsidP="005773AE">
      <w:pPr>
        <w:numPr>
          <w:ilvl w:val="0"/>
          <w:numId w:val="22"/>
        </w:num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involvement as stakeholder in activities from EIOPA or the Commission,</w:t>
      </w:r>
    </w:p>
    <w:p w:rsidR="005773AE" w:rsidRPr="005773AE" w:rsidRDefault="005773AE" w:rsidP="005773AE">
      <w:pPr>
        <w:numPr>
          <w:ilvl w:val="0"/>
          <w:numId w:val="22"/>
        </w:num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 xml:space="preserve">support for member </w:t>
      </w:r>
      <w:proofErr w:type="spellStart"/>
      <w:r w:rsidRPr="005773AE">
        <w:rPr>
          <w:rFonts w:asciiTheme="minorHAnsi" w:hAnsiTheme="minorHAnsi" w:cs="Arial"/>
          <w:color w:val="373246"/>
          <w:sz w:val="22"/>
          <w:szCs w:val="22"/>
          <w:lang w:val="en-US" w:eastAsia="en-US"/>
        </w:rPr>
        <w:t>organisations</w:t>
      </w:r>
      <w:proofErr w:type="spellEnd"/>
      <w:r w:rsidRPr="005773AE">
        <w:rPr>
          <w:rFonts w:asciiTheme="minorHAnsi" w:hAnsiTheme="minorHAnsi" w:cs="Arial"/>
          <w:color w:val="373246"/>
          <w:sz w:val="22"/>
          <w:szCs w:val="22"/>
          <w:lang w:val="en-US" w:eastAsia="en-US"/>
        </w:rPr>
        <w:t>/actuaries in specific questions, especially within the role of the actuary and the actuarial function/risk management function.</w:t>
      </w:r>
    </w:p>
    <w:p w:rsidR="005773AE" w:rsidRPr="005773AE" w:rsidRDefault="005773AE" w:rsidP="005773AE">
      <w:p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 xml:space="preserve">To be able to answer the challenges mentioned above and to assume a more proactive role, the Project includes working groups, where each working group is chaired by one of its members. The working groups report to the Project Team, which offers advice to the Insurance Committee based on the output from the working groups. Advice once approved is submitted through the Project Team as appropriate. Advice includes technical assistance and support, and explanation of actuarial methodology, but avoids provision of opinions which may have a political (non-actuarial) bias. The Project Team takes responsibility for establishing and developing contacts between the AAE and relevant </w:t>
      </w:r>
      <w:proofErr w:type="spellStart"/>
      <w:r w:rsidRPr="005773AE">
        <w:rPr>
          <w:rFonts w:asciiTheme="minorHAnsi" w:hAnsiTheme="minorHAnsi" w:cs="Arial"/>
          <w:color w:val="373246"/>
          <w:sz w:val="22"/>
          <w:szCs w:val="22"/>
          <w:lang w:val="en-US" w:eastAsia="en-US"/>
        </w:rPr>
        <w:t>organisations</w:t>
      </w:r>
      <w:proofErr w:type="spellEnd"/>
      <w:r w:rsidRPr="005773AE">
        <w:rPr>
          <w:rFonts w:asciiTheme="minorHAnsi" w:hAnsiTheme="minorHAnsi" w:cs="Arial"/>
          <w:color w:val="373246"/>
          <w:sz w:val="22"/>
          <w:szCs w:val="22"/>
          <w:lang w:val="en-US" w:eastAsia="en-US"/>
        </w:rPr>
        <w:t xml:space="preserve"> for Solvency II issues.</w:t>
      </w:r>
    </w:p>
    <w:p w:rsidR="005773AE" w:rsidRPr="005773AE" w:rsidRDefault="005773AE" w:rsidP="005773AE">
      <w:p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u w:val="single"/>
          <w:lang w:val="en-US" w:eastAsia="en-US"/>
        </w:rPr>
        <w:lastRenderedPageBreak/>
        <w:t>2. Project Structure</w:t>
      </w:r>
    </w:p>
    <w:p w:rsidR="005773AE" w:rsidRPr="005773AE" w:rsidRDefault="005773AE" w:rsidP="005773AE">
      <w:p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 xml:space="preserve">The members of the Insurance Committee propose the candidates for membership of the working groups. In practice, it is not feasible to have representatives from every association; nevertheless, the project management will </w:t>
      </w:r>
      <w:proofErr w:type="spellStart"/>
      <w:r w:rsidRPr="005773AE">
        <w:rPr>
          <w:rFonts w:asciiTheme="minorHAnsi" w:hAnsiTheme="minorHAnsi" w:cs="Arial"/>
          <w:color w:val="373246"/>
          <w:sz w:val="22"/>
          <w:szCs w:val="22"/>
          <w:lang w:val="en-US" w:eastAsia="en-US"/>
        </w:rPr>
        <w:t>endeavour</w:t>
      </w:r>
      <w:proofErr w:type="spellEnd"/>
      <w:r w:rsidRPr="005773AE">
        <w:rPr>
          <w:rFonts w:asciiTheme="minorHAnsi" w:hAnsiTheme="minorHAnsi" w:cs="Arial"/>
          <w:color w:val="373246"/>
          <w:sz w:val="22"/>
          <w:szCs w:val="22"/>
          <w:lang w:val="en-US" w:eastAsia="en-US"/>
        </w:rPr>
        <w:t xml:space="preserve"> to be sensitive to the views of those associations, particularly the smaller ones, which are not represented. The Chairperson of the Insurance Committee, the Project Manager, and (once appointed) the Chairperson of the working group nominate the members of the working group from proposed candidates. In appointing members of the working groups, every attempt will be made to ensure a reasonable geographical spread; normally not more than one nominee from any association or country may be a member of a working group. Candidates must have experience in the appropriate technical area, and must be able to commit time to regular participation in the working group. At the start of this continuation of the project after January 2016 the members of existing working groups are understood to be de facto proposals from the Insurance Committee for the new working groups.</w:t>
      </w:r>
    </w:p>
    <w:p w:rsidR="005773AE" w:rsidRPr="005773AE" w:rsidRDefault="005773AE" w:rsidP="005773AE">
      <w:p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The Chairperson and Vice-Chairperson of each working group are selected from the proposed candidates of that working group by the Chairperson of the Insurance Committee and the Project Manager. The nomination of the Chairpersons and the Vice-Chairpersons is confirmed by the Insurance Committee formally appointing them. The Chairpersons and Vice-Chairpersons must have experience in the appropriate technical area, relevant experience in managing a group of professionals, and must be able to commit time to fulfill the role of Chairperson / Vice-Chairperson.</w:t>
      </w:r>
    </w:p>
    <w:p w:rsidR="005773AE" w:rsidRPr="005773AE" w:rsidRDefault="005773AE" w:rsidP="005773AE">
      <w:p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The Project Manager is selected by the Chairperson of the AAE and the Chairperson of the Insurance Committee, from a list of candidates proposed by the members of the Insurance Committee. The Project Manager of the Project before the end of the earlier Project is proposed to be the Project Manager of the new Project to ensure smooth continuation of the Project. The nomination of the Project Manager is confirmed by the Insurance Committee formally appointing him/her. Candidates must have relevant experience in the area of Solvency II, must have experience in project management and must be able to commit time to fulfil the role of Project Manager.</w:t>
      </w:r>
    </w:p>
    <w:p w:rsidR="005773AE" w:rsidRPr="005773AE" w:rsidRDefault="005773AE" w:rsidP="005773AE">
      <w:p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The Project Team includes the Project Manager, the Chairperson of the Insurance Committee, and the Chairpersons and Vice-Chairpersons of the working groups. The Chairperson of the AAE is an ex-officio member of the Project Team. Project Team meetings are chaired by the Project Manager.</w:t>
      </w:r>
    </w:p>
    <w:p w:rsidR="005773AE" w:rsidRPr="005773AE" w:rsidRDefault="005773AE" w:rsidP="005773AE">
      <w:p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All members of the Project Team serve for a period of three years in the first instance, and would normally not serve more than two 3-year terms.</w:t>
      </w:r>
    </w:p>
    <w:p w:rsidR="005773AE" w:rsidRPr="005773AE" w:rsidRDefault="005773AE" w:rsidP="005773AE">
      <w:p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u w:val="single"/>
          <w:lang w:val="en-US" w:eastAsia="en-US"/>
        </w:rPr>
        <w:t>3. Project Roles</w:t>
      </w:r>
    </w:p>
    <w:p w:rsidR="005773AE" w:rsidRPr="005773AE" w:rsidRDefault="005773AE" w:rsidP="005773AE">
      <w:p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The Insurance Committee</w:t>
      </w:r>
    </w:p>
    <w:p w:rsidR="005773AE" w:rsidRPr="005773AE" w:rsidRDefault="005773AE" w:rsidP="005773AE">
      <w:pPr>
        <w:numPr>
          <w:ilvl w:val="0"/>
          <w:numId w:val="23"/>
        </w:num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Has overall responsibility for the Project</w:t>
      </w:r>
    </w:p>
    <w:p w:rsidR="005773AE" w:rsidRPr="005773AE" w:rsidRDefault="005773AE" w:rsidP="005773AE">
      <w:pPr>
        <w:numPr>
          <w:ilvl w:val="0"/>
          <w:numId w:val="23"/>
        </w:num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Obtains reports as appropriate on the progress of the Project and discusses the status of the Project at its regular bi-annual meetings</w:t>
      </w:r>
    </w:p>
    <w:p w:rsidR="005773AE" w:rsidRPr="005773AE" w:rsidRDefault="005773AE" w:rsidP="005773AE">
      <w:pPr>
        <w:numPr>
          <w:ilvl w:val="0"/>
          <w:numId w:val="23"/>
        </w:num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Reviews and approves as appropriate advice received from the Project Team</w:t>
      </w:r>
    </w:p>
    <w:p w:rsidR="005773AE" w:rsidRPr="005773AE" w:rsidRDefault="005773AE" w:rsidP="005773AE">
      <w:pPr>
        <w:numPr>
          <w:ilvl w:val="0"/>
          <w:numId w:val="23"/>
        </w:num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Confirms nominations for Project Manager, and Chairperson and Vice-Chairperson of each working group, and formally appoints them</w:t>
      </w:r>
    </w:p>
    <w:p w:rsidR="005773AE" w:rsidRPr="005773AE" w:rsidRDefault="005773AE" w:rsidP="005773AE">
      <w:p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The Chairperson of the Insurance Committee</w:t>
      </w:r>
    </w:p>
    <w:p w:rsidR="005773AE" w:rsidRPr="005773AE" w:rsidRDefault="005773AE" w:rsidP="005773AE">
      <w:pPr>
        <w:numPr>
          <w:ilvl w:val="0"/>
          <w:numId w:val="24"/>
        </w:num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Liaises with the Officers of the AAE on the subject</w:t>
      </w:r>
    </w:p>
    <w:p w:rsidR="005773AE" w:rsidRPr="005773AE" w:rsidRDefault="005773AE" w:rsidP="005773AE">
      <w:pPr>
        <w:numPr>
          <w:ilvl w:val="0"/>
          <w:numId w:val="24"/>
        </w:num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Has overall supervisory responsibility for the Project; this includes its compliance with the principles underlying the Statutes (in particular Articles 2 and 13) and the code of conduct of the AAE</w:t>
      </w:r>
    </w:p>
    <w:p w:rsidR="005773AE" w:rsidRPr="005773AE" w:rsidRDefault="005773AE" w:rsidP="005773AE">
      <w:pPr>
        <w:numPr>
          <w:ilvl w:val="0"/>
          <w:numId w:val="24"/>
        </w:num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lastRenderedPageBreak/>
        <w:t xml:space="preserve">Represents the AAE in the official communications  (e.g. signing formal submissions) and contacts with the above mentioned </w:t>
      </w:r>
      <w:proofErr w:type="spellStart"/>
      <w:r w:rsidRPr="005773AE">
        <w:rPr>
          <w:rFonts w:asciiTheme="minorHAnsi" w:hAnsiTheme="minorHAnsi" w:cs="Arial"/>
          <w:color w:val="373246"/>
          <w:sz w:val="22"/>
          <w:szCs w:val="22"/>
          <w:lang w:val="en-US" w:eastAsia="en-US"/>
        </w:rPr>
        <w:t>organisations</w:t>
      </w:r>
      <w:proofErr w:type="spellEnd"/>
      <w:r w:rsidRPr="005773AE">
        <w:rPr>
          <w:rFonts w:asciiTheme="minorHAnsi" w:hAnsiTheme="minorHAnsi" w:cs="Arial"/>
          <w:color w:val="373246"/>
          <w:sz w:val="22"/>
          <w:szCs w:val="22"/>
          <w:lang w:val="en-US" w:eastAsia="en-US"/>
        </w:rPr>
        <w:t xml:space="preserve"> relating to the Solvency II Project</w:t>
      </w:r>
    </w:p>
    <w:p w:rsidR="005773AE" w:rsidRPr="005773AE" w:rsidRDefault="005773AE" w:rsidP="005773AE">
      <w:pPr>
        <w:numPr>
          <w:ilvl w:val="0"/>
          <w:numId w:val="24"/>
        </w:num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Submits a report to the General Assembly of the AAE on the Solvency II Project as part of the annual report of the Insurance Committee</w:t>
      </w:r>
    </w:p>
    <w:p w:rsidR="005773AE" w:rsidRPr="005773AE" w:rsidRDefault="005773AE" w:rsidP="005773AE">
      <w:p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The Project Team</w:t>
      </w:r>
    </w:p>
    <w:p w:rsidR="005773AE" w:rsidRPr="005773AE" w:rsidRDefault="005773AE" w:rsidP="005773AE">
      <w:pPr>
        <w:numPr>
          <w:ilvl w:val="0"/>
          <w:numId w:val="25"/>
        </w:num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Reviews outputs from the working groups</w:t>
      </w:r>
    </w:p>
    <w:p w:rsidR="005773AE" w:rsidRPr="005773AE" w:rsidRDefault="005773AE" w:rsidP="005773AE">
      <w:pPr>
        <w:numPr>
          <w:ilvl w:val="0"/>
          <w:numId w:val="25"/>
        </w:num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Proposes advice/comments for discussion and approval by the Insurance Committee</w:t>
      </w:r>
    </w:p>
    <w:p w:rsidR="005773AE" w:rsidRPr="005773AE" w:rsidRDefault="005773AE" w:rsidP="005773AE">
      <w:pPr>
        <w:numPr>
          <w:ilvl w:val="0"/>
          <w:numId w:val="25"/>
        </w:num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 xml:space="preserve">Submits approved advice/comments to relevant </w:t>
      </w:r>
      <w:proofErr w:type="spellStart"/>
      <w:r w:rsidRPr="005773AE">
        <w:rPr>
          <w:rFonts w:asciiTheme="minorHAnsi" w:hAnsiTheme="minorHAnsi" w:cs="Arial"/>
          <w:color w:val="373246"/>
          <w:sz w:val="22"/>
          <w:szCs w:val="22"/>
          <w:lang w:val="en-US" w:eastAsia="en-US"/>
        </w:rPr>
        <w:t>organisations</w:t>
      </w:r>
      <w:proofErr w:type="spellEnd"/>
    </w:p>
    <w:p w:rsidR="005773AE" w:rsidRPr="005773AE" w:rsidRDefault="005773AE" w:rsidP="005773AE">
      <w:pPr>
        <w:numPr>
          <w:ilvl w:val="0"/>
          <w:numId w:val="25"/>
        </w:num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 xml:space="preserve">Establishes and develops contacts with relevant </w:t>
      </w:r>
      <w:proofErr w:type="spellStart"/>
      <w:r w:rsidRPr="005773AE">
        <w:rPr>
          <w:rFonts w:asciiTheme="minorHAnsi" w:hAnsiTheme="minorHAnsi" w:cs="Arial"/>
          <w:color w:val="373246"/>
          <w:sz w:val="22"/>
          <w:szCs w:val="22"/>
          <w:lang w:val="en-US" w:eastAsia="en-US"/>
        </w:rPr>
        <w:t>organisations</w:t>
      </w:r>
      <w:proofErr w:type="spellEnd"/>
    </w:p>
    <w:p w:rsidR="005773AE" w:rsidRPr="005773AE" w:rsidRDefault="005773AE" w:rsidP="005773AE">
      <w:p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The Project Manager</w:t>
      </w:r>
    </w:p>
    <w:p w:rsidR="005773AE" w:rsidRPr="005773AE" w:rsidRDefault="005773AE" w:rsidP="005773AE">
      <w:pPr>
        <w:numPr>
          <w:ilvl w:val="0"/>
          <w:numId w:val="26"/>
        </w:num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Coordinates the work by agreeing with the Chairpersons of the working groups on the deliverables and the planning</w:t>
      </w:r>
    </w:p>
    <w:p w:rsidR="005773AE" w:rsidRPr="005773AE" w:rsidRDefault="005773AE" w:rsidP="005773AE">
      <w:pPr>
        <w:numPr>
          <w:ilvl w:val="0"/>
          <w:numId w:val="26"/>
        </w:num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Assures a consistent approach throughout the Project</w:t>
      </w:r>
    </w:p>
    <w:p w:rsidR="005773AE" w:rsidRPr="005773AE" w:rsidRDefault="005773AE" w:rsidP="005773AE">
      <w:pPr>
        <w:numPr>
          <w:ilvl w:val="0"/>
          <w:numId w:val="26"/>
        </w:num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Arranges meetings of the Project Team as necessary</w:t>
      </w:r>
    </w:p>
    <w:p w:rsidR="005773AE" w:rsidRPr="005773AE" w:rsidRDefault="005773AE" w:rsidP="005773AE">
      <w:pPr>
        <w:numPr>
          <w:ilvl w:val="0"/>
          <w:numId w:val="26"/>
        </w:num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Coordinates (with the AAE Secretariat) communications to the Insurance Committee, to the members of the AAE and to the external world on Solvency II issues</w:t>
      </w:r>
    </w:p>
    <w:p w:rsidR="005773AE" w:rsidRPr="005773AE" w:rsidRDefault="005773AE" w:rsidP="005773AE">
      <w:pPr>
        <w:numPr>
          <w:ilvl w:val="0"/>
          <w:numId w:val="26"/>
        </w:num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Represents  the AAE (after consultation with the Chairperson of the Insurance Committee for official communications and contacts) and impartially presents the point of view of the AAE, in accordance with the provisions of Article 13, at appropriate events</w:t>
      </w:r>
    </w:p>
    <w:p w:rsidR="005773AE" w:rsidRPr="005773AE" w:rsidRDefault="005773AE" w:rsidP="005773AE">
      <w:pPr>
        <w:numPr>
          <w:ilvl w:val="0"/>
          <w:numId w:val="26"/>
        </w:num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Submits a report to the Chairperson of the Insurance Committee four weeks before the meetings of the Insurance Committee or at his request.</w:t>
      </w:r>
    </w:p>
    <w:p w:rsidR="005773AE" w:rsidRPr="005773AE" w:rsidRDefault="005773AE" w:rsidP="005773AE">
      <w:pPr>
        <w:numPr>
          <w:ilvl w:val="0"/>
          <w:numId w:val="26"/>
        </w:num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Submits progress reports to the Chairperson and the members of the Insurance Committee, as appropriate</w:t>
      </w:r>
    </w:p>
    <w:p w:rsidR="005773AE" w:rsidRPr="005773AE" w:rsidRDefault="005773AE" w:rsidP="005773AE">
      <w:pPr>
        <w:numPr>
          <w:ilvl w:val="0"/>
          <w:numId w:val="26"/>
        </w:num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attends meetings of the Insurance Committee, and should be able to attend meetings of the General Assembly and other committees of the AAE when matters relating to Solvency II are considered</w:t>
      </w:r>
    </w:p>
    <w:p w:rsidR="005773AE" w:rsidRPr="005773AE" w:rsidRDefault="005773AE" w:rsidP="005773AE">
      <w:p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The working groups</w:t>
      </w:r>
    </w:p>
    <w:p w:rsidR="005773AE" w:rsidRPr="005773AE" w:rsidRDefault="005773AE" w:rsidP="005773AE">
      <w:pPr>
        <w:numPr>
          <w:ilvl w:val="0"/>
          <w:numId w:val="27"/>
        </w:num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The working groups prepare the advice/comments of the AAE in the field as described in the definition and the scope.</w:t>
      </w:r>
    </w:p>
    <w:p w:rsidR="005773AE" w:rsidRPr="005773AE" w:rsidRDefault="005773AE" w:rsidP="005773AE">
      <w:p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The Chairperson of each working group</w:t>
      </w:r>
    </w:p>
    <w:p w:rsidR="005773AE" w:rsidRPr="005773AE" w:rsidRDefault="005773AE" w:rsidP="005773AE">
      <w:pPr>
        <w:numPr>
          <w:ilvl w:val="0"/>
          <w:numId w:val="28"/>
        </w:num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Coordinates the activity of the working group</w:t>
      </w:r>
    </w:p>
    <w:p w:rsidR="005773AE" w:rsidRPr="005773AE" w:rsidRDefault="005773AE" w:rsidP="005773AE">
      <w:pPr>
        <w:numPr>
          <w:ilvl w:val="0"/>
          <w:numId w:val="28"/>
        </w:num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Assures the quality and timeliness of the deliverables</w:t>
      </w:r>
    </w:p>
    <w:p w:rsidR="005773AE" w:rsidRPr="005773AE" w:rsidRDefault="005773AE" w:rsidP="005773AE">
      <w:pPr>
        <w:numPr>
          <w:ilvl w:val="0"/>
          <w:numId w:val="28"/>
        </w:num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After consultation with the Project Manager and the Chairperson of the Insurance Committee, may represent the AAE and impartially present the point of view of the AAE in accordance with the provisions of Article 13 of the Statutes</w:t>
      </w:r>
    </w:p>
    <w:p w:rsidR="005773AE" w:rsidRPr="005773AE" w:rsidRDefault="005773AE" w:rsidP="005773AE">
      <w:pPr>
        <w:numPr>
          <w:ilvl w:val="0"/>
          <w:numId w:val="28"/>
        </w:num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Submits a report to the Project Manager and the Chairperson of the Insurance Committee four weeks before the meetings of the Project Team and the Insurance Committee, or at their request.</w:t>
      </w:r>
    </w:p>
    <w:p w:rsidR="005773AE" w:rsidRPr="005773AE" w:rsidRDefault="005773AE" w:rsidP="005773AE">
      <w:p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 xml:space="preserve">The Vice-Chairperson of each working group assists and, as and when necessary, </w:t>
      </w:r>
      <w:proofErr w:type="spellStart"/>
      <w:r w:rsidRPr="005773AE">
        <w:rPr>
          <w:rFonts w:asciiTheme="minorHAnsi" w:hAnsiTheme="minorHAnsi" w:cs="Arial"/>
          <w:color w:val="373246"/>
          <w:sz w:val="22"/>
          <w:szCs w:val="22"/>
          <w:lang w:val="en-US" w:eastAsia="en-US"/>
        </w:rPr>
        <w:t>deputises</w:t>
      </w:r>
      <w:proofErr w:type="spellEnd"/>
      <w:r w:rsidRPr="005773AE">
        <w:rPr>
          <w:rFonts w:asciiTheme="minorHAnsi" w:hAnsiTheme="minorHAnsi" w:cs="Arial"/>
          <w:color w:val="373246"/>
          <w:sz w:val="22"/>
          <w:szCs w:val="22"/>
          <w:lang w:val="en-US" w:eastAsia="en-US"/>
        </w:rPr>
        <w:t xml:space="preserve"> for the Chairperson in fulfilling the above functions.</w:t>
      </w:r>
    </w:p>
    <w:p w:rsidR="005773AE" w:rsidRPr="005773AE" w:rsidRDefault="005773AE" w:rsidP="005773AE">
      <w:p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October 2015</w:t>
      </w:r>
    </w:p>
    <w:p w:rsidR="005773AE" w:rsidRDefault="005773AE" w:rsidP="005773AE">
      <w:pPr>
        <w:spacing w:before="100" w:beforeAutospacing="1" w:after="100" w:afterAutospacing="1" w:line="240" w:lineRule="auto"/>
        <w:rPr>
          <w:rFonts w:asciiTheme="minorHAnsi" w:hAnsiTheme="minorHAnsi" w:cs="Arial"/>
          <w:b/>
          <w:bCs/>
          <w:color w:val="373246"/>
          <w:sz w:val="22"/>
          <w:szCs w:val="22"/>
          <w:lang w:val="en-US" w:eastAsia="en-US"/>
        </w:rPr>
      </w:pPr>
      <w:r>
        <w:rPr>
          <w:rFonts w:asciiTheme="minorHAnsi" w:hAnsiTheme="minorHAnsi" w:cs="Arial"/>
          <w:b/>
          <w:bCs/>
          <w:color w:val="373246"/>
          <w:sz w:val="22"/>
          <w:szCs w:val="22"/>
          <w:lang w:val="en-US" w:eastAsia="en-US"/>
        </w:rPr>
        <w:br/>
      </w:r>
    </w:p>
    <w:p w:rsidR="005773AE" w:rsidRPr="005773AE" w:rsidRDefault="005773AE" w:rsidP="005773AE">
      <w:pPr>
        <w:rPr>
          <w:lang w:val="en-US" w:eastAsia="en-US"/>
        </w:rPr>
      </w:pPr>
      <w:bookmarkStart w:id="1" w:name="_GoBack"/>
      <w:bookmarkEnd w:id="1"/>
      <w:r>
        <w:rPr>
          <w:lang w:val="en-US" w:eastAsia="en-US"/>
        </w:rPr>
        <w:br w:type="page"/>
      </w:r>
      <w:r w:rsidRPr="005773AE">
        <w:rPr>
          <w:rFonts w:asciiTheme="minorHAnsi" w:hAnsiTheme="minorHAnsi" w:cs="Arial"/>
          <w:b/>
          <w:bCs/>
          <w:color w:val="373246"/>
          <w:sz w:val="22"/>
          <w:szCs w:val="22"/>
          <w:lang w:val="en-US" w:eastAsia="en-US"/>
        </w:rPr>
        <w:lastRenderedPageBreak/>
        <w:t>Working Groups definition and scope</w:t>
      </w:r>
    </w:p>
    <w:p w:rsidR="005773AE" w:rsidRPr="005773AE" w:rsidRDefault="005773AE" w:rsidP="005773AE">
      <w:p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Considering the specifics of the business there will still remain a need for at least 3 working groups:</w:t>
      </w:r>
    </w:p>
    <w:p w:rsidR="005773AE" w:rsidRPr="005773AE" w:rsidRDefault="005773AE" w:rsidP="005773AE">
      <w:pPr>
        <w:numPr>
          <w:ilvl w:val="0"/>
          <w:numId w:val="29"/>
        </w:num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Business specific: Life,</w:t>
      </w:r>
    </w:p>
    <w:p w:rsidR="005773AE" w:rsidRPr="005773AE" w:rsidRDefault="005773AE" w:rsidP="005773AE">
      <w:pPr>
        <w:numPr>
          <w:ilvl w:val="0"/>
          <w:numId w:val="29"/>
        </w:num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Business specific: Nonlife</w:t>
      </w:r>
    </w:p>
    <w:p w:rsidR="005773AE" w:rsidRPr="005773AE" w:rsidRDefault="005773AE" w:rsidP="005773AE">
      <w:pPr>
        <w:numPr>
          <w:ilvl w:val="0"/>
          <w:numId w:val="29"/>
        </w:num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Cross sectorial: Internal models, reporting, “Pillar 2” issues, groups</w:t>
      </w:r>
    </w:p>
    <w:p w:rsidR="005773AE" w:rsidRPr="005773AE" w:rsidRDefault="005773AE" w:rsidP="005773AE">
      <w:pPr>
        <w:spacing w:before="100" w:beforeAutospacing="1" w:after="100" w:afterAutospacing="1" w:line="240" w:lineRule="auto"/>
        <w:rPr>
          <w:rFonts w:asciiTheme="minorHAnsi" w:hAnsiTheme="minorHAnsi" w:cs="Arial"/>
          <w:color w:val="373246"/>
          <w:sz w:val="22"/>
          <w:szCs w:val="22"/>
          <w:lang w:val="en-US" w:eastAsia="en-US"/>
        </w:rPr>
      </w:pPr>
      <w:r w:rsidRPr="005773AE">
        <w:rPr>
          <w:rFonts w:asciiTheme="minorHAnsi" w:hAnsiTheme="minorHAnsi" w:cs="Arial"/>
          <w:color w:val="373246"/>
          <w:sz w:val="22"/>
          <w:szCs w:val="22"/>
          <w:lang w:val="en-US" w:eastAsia="en-US"/>
        </w:rPr>
        <w:t>Additional ad hoc activities require a </w:t>
      </w:r>
      <w:r w:rsidRPr="005773AE">
        <w:rPr>
          <w:rFonts w:asciiTheme="minorHAnsi" w:hAnsiTheme="minorHAnsi" w:cs="Arial"/>
          <w:color w:val="373246"/>
          <w:sz w:val="22"/>
          <w:szCs w:val="22"/>
          <w:u w:val="single"/>
          <w:lang w:val="en-US" w:eastAsia="en-US"/>
        </w:rPr>
        <w:t>task force</w:t>
      </w:r>
      <w:r w:rsidRPr="005773AE">
        <w:rPr>
          <w:rFonts w:asciiTheme="minorHAnsi" w:hAnsiTheme="minorHAnsi" w:cs="Arial"/>
          <w:color w:val="373246"/>
          <w:sz w:val="22"/>
          <w:szCs w:val="22"/>
          <w:lang w:val="en-US" w:eastAsia="en-US"/>
        </w:rPr>
        <w:t> that can easily be activated whenever contributions are required. </w:t>
      </w:r>
      <w:r w:rsidRPr="005773AE">
        <w:rPr>
          <w:rFonts w:asciiTheme="minorHAnsi" w:hAnsiTheme="minorHAnsi" w:cs="Arial"/>
          <w:color w:val="373246"/>
          <w:sz w:val="22"/>
          <w:szCs w:val="22"/>
          <w:u w:val="single"/>
          <w:lang w:val="en-US" w:eastAsia="en-US"/>
        </w:rPr>
        <w:t>Staffing</w:t>
      </w:r>
      <w:r w:rsidRPr="005773AE">
        <w:rPr>
          <w:rFonts w:asciiTheme="minorHAnsi" w:hAnsiTheme="minorHAnsi" w:cs="Arial"/>
          <w:color w:val="373246"/>
          <w:sz w:val="22"/>
          <w:szCs w:val="22"/>
          <w:lang w:val="en-US" w:eastAsia="en-US"/>
        </w:rPr>
        <w:t>: Working groups might appoint members for this purpose. Also the chairs of the working groups could be candidates. But additionally the Project will maintain a pool of experts, based on recommendations from the members of the Insurance Committee, from whom task forces can be set up without delay.</w:t>
      </w:r>
    </w:p>
    <w:p w:rsidR="005773AE" w:rsidRPr="005773AE" w:rsidRDefault="005773AE">
      <w:pPr>
        <w:spacing w:line="240" w:lineRule="auto"/>
        <w:rPr>
          <w:rFonts w:asciiTheme="minorHAnsi" w:hAnsiTheme="minorHAnsi" w:cs="Arial"/>
          <w:b/>
          <w:snapToGrid w:val="0"/>
          <w:color w:val="373246"/>
          <w:sz w:val="22"/>
          <w:szCs w:val="22"/>
          <w:lang w:val="en-US" w:eastAsia="en-US"/>
        </w:rPr>
      </w:pPr>
    </w:p>
    <w:sectPr w:rsidR="005773AE" w:rsidRPr="005773AE" w:rsidSect="009364AA">
      <w:footerReference w:type="even" r:id="rId7"/>
      <w:footerReference w:type="default" r:id="rId8"/>
      <w:headerReference w:type="first" r:id="rId9"/>
      <w:footerReference w:type="first" r:id="rId10"/>
      <w:pgSz w:w="11907" w:h="16840" w:code="9"/>
      <w:pgMar w:top="993" w:right="1411" w:bottom="864" w:left="1411" w:header="432"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43A" w:rsidRDefault="00D2143A">
      <w:r>
        <w:separator/>
      </w:r>
    </w:p>
  </w:endnote>
  <w:endnote w:type="continuationSeparator" w:id="0">
    <w:p w:rsidR="00D2143A" w:rsidRDefault="00D2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43A" w:rsidRDefault="00E64C1E">
    <w:pPr>
      <w:pStyle w:val="Footer"/>
      <w:framePr w:wrap="around" w:vAnchor="text" w:hAnchor="margin" w:xAlign="right" w:y="1"/>
      <w:rPr>
        <w:rStyle w:val="PageNumber"/>
      </w:rPr>
    </w:pPr>
    <w:r>
      <w:rPr>
        <w:rStyle w:val="PageNumber"/>
      </w:rPr>
      <w:fldChar w:fldCharType="begin"/>
    </w:r>
    <w:r w:rsidR="00D2143A">
      <w:rPr>
        <w:rStyle w:val="PageNumber"/>
      </w:rPr>
      <w:instrText xml:space="preserve">PAGE  </w:instrText>
    </w:r>
    <w:r>
      <w:rPr>
        <w:rStyle w:val="PageNumber"/>
      </w:rPr>
      <w:fldChar w:fldCharType="separate"/>
    </w:r>
    <w:r w:rsidR="00D2143A">
      <w:rPr>
        <w:rStyle w:val="PageNumber"/>
        <w:noProof/>
      </w:rPr>
      <w:t>4</w:t>
    </w:r>
    <w:r>
      <w:rPr>
        <w:rStyle w:val="PageNumber"/>
      </w:rPr>
      <w:fldChar w:fldCharType="end"/>
    </w:r>
  </w:p>
  <w:p w:rsidR="00D2143A" w:rsidRDefault="00D214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43A" w:rsidRPr="008400D6" w:rsidRDefault="006A4DD9" w:rsidP="006A4DD9">
    <w:pPr>
      <w:pStyle w:val="Footer"/>
      <w:tabs>
        <w:tab w:val="clear" w:pos="4153"/>
        <w:tab w:val="center" w:pos="4950"/>
      </w:tabs>
      <w:ind w:right="360"/>
      <w:rPr>
        <w:rFonts w:asciiTheme="minorHAnsi" w:hAnsiTheme="minorHAnsi"/>
        <w:i/>
      </w:rPr>
    </w:pPr>
    <w:r>
      <w:rPr>
        <w:rFonts w:asciiTheme="minorHAnsi" w:hAnsiTheme="minorHAnsi"/>
        <w:i/>
      </w:rPr>
      <w:fldChar w:fldCharType="begin"/>
    </w:r>
    <w:r>
      <w:rPr>
        <w:rFonts w:asciiTheme="minorHAnsi" w:hAnsiTheme="minorHAnsi"/>
        <w:i/>
      </w:rPr>
      <w:instrText xml:space="preserve"> FILENAME   \* MERGEFORMAT </w:instrText>
    </w:r>
    <w:r>
      <w:rPr>
        <w:rFonts w:asciiTheme="minorHAnsi" w:hAnsiTheme="minorHAnsi"/>
        <w:i/>
      </w:rPr>
      <w:fldChar w:fldCharType="separate"/>
    </w:r>
    <w:r>
      <w:rPr>
        <w:rFonts w:asciiTheme="minorHAnsi" w:hAnsiTheme="minorHAnsi"/>
        <w:i/>
        <w:noProof/>
      </w:rPr>
      <w:t>ToR_SIIProject Team and WG_October2015 updated</w:t>
    </w:r>
    <w:r>
      <w:rPr>
        <w:rFonts w:asciiTheme="minorHAnsi" w:hAnsiTheme="minorHAnsi"/>
        <w:i/>
      </w:rPr>
      <w:fldChar w:fldCharType="end"/>
    </w:r>
    <w:r>
      <w:rPr>
        <w:rFonts w:asciiTheme="minorHAnsi" w:hAnsiTheme="minorHAnsi"/>
        <w:i/>
      </w:rPr>
      <w:tab/>
    </w:r>
    <w:r w:rsidR="008400D6" w:rsidRPr="008400D6">
      <w:rPr>
        <w:rFonts w:asciiTheme="minorHAnsi" w:hAnsiTheme="minorHAnsi"/>
        <w:i/>
      </w:rPr>
      <w:t xml:space="preserve">Page </w:t>
    </w:r>
    <w:r w:rsidR="00E64C1E" w:rsidRPr="008400D6">
      <w:rPr>
        <w:rFonts w:asciiTheme="minorHAnsi" w:hAnsiTheme="minorHAnsi"/>
        <w:i/>
      </w:rPr>
      <w:fldChar w:fldCharType="begin"/>
    </w:r>
    <w:r w:rsidR="008400D6" w:rsidRPr="008400D6">
      <w:rPr>
        <w:rFonts w:asciiTheme="minorHAnsi" w:hAnsiTheme="minorHAnsi"/>
        <w:i/>
      </w:rPr>
      <w:instrText xml:space="preserve"> PAGE  \* Arabic  \* MERGEFORMAT </w:instrText>
    </w:r>
    <w:r w:rsidR="00E64C1E" w:rsidRPr="008400D6">
      <w:rPr>
        <w:rFonts w:asciiTheme="minorHAnsi" w:hAnsiTheme="minorHAnsi"/>
        <w:i/>
      </w:rPr>
      <w:fldChar w:fldCharType="separate"/>
    </w:r>
    <w:r>
      <w:rPr>
        <w:rFonts w:asciiTheme="minorHAnsi" w:hAnsiTheme="minorHAnsi"/>
        <w:i/>
        <w:noProof/>
      </w:rPr>
      <w:t>4</w:t>
    </w:r>
    <w:r w:rsidR="00E64C1E" w:rsidRPr="008400D6">
      <w:rPr>
        <w:rFonts w:asciiTheme="minorHAnsi" w:hAnsiTheme="minorHAnsi"/>
        <w:i/>
      </w:rPr>
      <w:fldChar w:fldCharType="end"/>
    </w:r>
    <w:r w:rsidR="008400D6" w:rsidRPr="008400D6">
      <w:rPr>
        <w:rFonts w:asciiTheme="minorHAnsi" w:hAnsiTheme="minorHAnsi"/>
        <w:i/>
      </w:rPr>
      <w:t xml:space="preserve"> of </w:t>
    </w:r>
    <w:fldSimple w:instr=" NUMPAGES  \* Arabic  \* MERGEFORMAT ">
      <w:r w:rsidRPr="006A4DD9">
        <w:rPr>
          <w:rFonts w:asciiTheme="minorHAnsi" w:hAnsiTheme="minorHAnsi"/>
          <w:i/>
          <w:noProof/>
        </w:rPr>
        <w:t>4</w:t>
      </w:r>
    </w:fldSimple>
    <w:r w:rsidR="008400D6" w:rsidRPr="008400D6">
      <w:rPr>
        <w:rFonts w:asciiTheme="minorHAnsi" w:hAnsiTheme="minorHAnsi"/>
        <w:i/>
      </w:rPr>
      <w:tab/>
    </w:r>
    <w:r w:rsidR="008400D6">
      <w:rPr>
        <w:rFonts w:asciiTheme="minorHAnsi" w:hAnsiTheme="minorHAnsi"/>
        <w:i/>
      </w:rPr>
      <w:t xml:space="preserve">   </w:t>
    </w:r>
    <w:r w:rsidR="00AB67BA">
      <w:rPr>
        <w:rFonts w:asciiTheme="minorHAnsi" w:hAnsiTheme="minorHAnsi"/>
        <w:i/>
      </w:rPr>
      <w:t>15 08 2017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B1D" w:rsidRDefault="00F02B1D" w:rsidP="00F02B1D">
    <w:pPr>
      <w:pStyle w:val="Footer"/>
      <w:rPr>
        <w:rFonts w:ascii="Calibri" w:hAnsi="Calibri"/>
        <w:i/>
        <w:sz w:val="16"/>
      </w:rPr>
    </w:pPr>
    <w:r>
      <w:rPr>
        <w:rFonts w:ascii="Calibri" w:hAnsi="Calibri"/>
        <w:i/>
        <w:sz w:val="16"/>
      </w:rPr>
      <w:t xml:space="preserve">The update comprises only the substitution of all references to </w:t>
    </w:r>
    <w:proofErr w:type="spellStart"/>
    <w:r>
      <w:rPr>
        <w:rFonts w:ascii="Calibri" w:hAnsi="Calibri"/>
        <w:i/>
        <w:sz w:val="16"/>
      </w:rPr>
      <w:t>Groupe</w:t>
    </w:r>
    <w:proofErr w:type="spellEnd"/>
    <w:r>
      <w:rPr>
        <w:rFonts w:ascii="Calibri" w:hAnsi="Calibri"/>
        <w:i/>
        <w:sz w:val="16"/>
      </w:rPr>
      <w:t xml:space="preserve"> </w:t>
    </w:r>
    <w:proofErr w:type="spellStart"/>
    <w:r>
      <w:rPr>
        <w:rFonts w:ascii="Calibri" w:hAnsi="Calibri"/>
        <w:i/>
        <w:sz w:val="16"/>
      </w:rPr>
      <w:t>Consultatif</w:t>
    </w:r>
    <w:proofErr w:type="spellEnd"/>
    <w:r>
      <w:rPr>
        <w:rFonts w:ascii="Calibri" w:hAnsi="Calibri"/>
        <w:i/>
        <w:sz w:val="16"/>
      </w:rPr>
      <w:t xml:space="preserve"> by AAE. The content of the document remains unchanged.</w:t>
    </w:r>
  </w:p>
  <w:p w:rsidR="00D2143A" w:rsidRPr="005E15E9" w:rsidRDefault="00D2143A" w:rsidP="00C9776B">
    <w:pPr>
      <w:pStyle w:val="Footer"/>
      <w:jc w:val="center"/>
      <w:rPr>
        <w:sz w:val="18"/>
      </w:rPr>
    </w:pPr>
    <w:r w:rsidRPr="005E15E9">
      <w:rPr>
        <w:rFonts w:ascii="Calibri" w:hAnsi="Calibri"/>
        <w:i/>
        <w:sz w:val="16"/>
      </w:rPr>
      <w:t xml:space="preserve">The Actuarial Association of Europe is registered in the EU Transparency Register under number </w:t>
    </w:r>
    <w:r w:rsidRPr="005E15E9">
      <w:rPr>
        <w:rFonts w:ascii="Calibri" w:hAnsi="Calibri" w:cs="Arial"/>
        <w:i/>
        <w:color w:val="373246"/>
        <w:sz w:val="16"/>
      </w:rPr>
      <w:t>550855911144-54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43A" w:rsidRDefault="00D2143A">
      <w:r>
        <w:separator/>
      </w:r>
    </w:p>
  </w:footnote>
  <w:footnote w:type="continuationSeparator" w:id="0">
    <w:p w:rsidR="00D2143A" w:rsidRDefault="00D21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43A" w:rsidRDefault="00D2143A" w:rsidP="00526141">
    <w:pPr>
      <w:pStyle w:val="Heading1"/>
      <w:jc w:val="left"/>
      <w:rPr>
        <w:rFonts w:ascii="Calibri" w:hAnsi="Calibri"/>
        <w:noProof/>
        <w:sz w:val="26"/>
        <w:szCs w:val="26"/>
      </w:rPr>
    </w:pPr>
    <w:r w:rsidRPr="007A6874">
      <w:rPr>
        <w:rFonts w:ascii="Calibri" w:hAnsi="Calibri"/>
        <w:noProof/>
        <w:sz w:val="26"/>
        <w:szCs w:val="26"/>
      </w:rPr>
      <w:t xml:space="preserve"> </w:t>
    </w:r>
    <w:r>
      <w:rPr>
        <w:rFonts w:ascii="Calibri" w:hAnsi="Calibri"/>
        <w:noProof/>
        <w:sz w:val="26"/>
        <w:szCs w:val="26"/>
      </w:rPr>
      <w:t xml:space="preserve"> </w:t>
    </w:r>
  </w:p>
  <w:p w:rsidR="00D2143A" w:rsidRDefault="00A37DE3" w:rsidP="0046430C">
    <w:pPr>
      <w:pStyle w:val="Heading1"/>
      <w:jc w:val="both"/>
      <w:rPr>
        <w:rFonts w:ascii="Calibri" w:hAnsi="Calibri"/>
        <w:noProof/>
        <w:sz w:val="26"/>
        <w:szCs w:val="26"/>
      </w:rPr>
    </w:pP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3048635</wp:posOffset>
              </wp:positionH>
              <wp:positionV relativeFrom="paragraph">
                <wp:posOffset>113030</wp:posOffset>
              </wp:positionV>
              <wp:extent cx="3005455" cy="1614805"/>
              <wp:effectExtent l="635"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161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143A" w:rsidRPr="0065279D" w:rsidRDefault="00D2143A" w:rsidP="0046430C">
                          <w:pPr>
                            <w:pStyle w:val="Heading1"/>
                            <w:rPr>
                              <w:rFonts w:ascii="Calibri" w:hAnsi="Calibri"/>
                              <w:sz w:val="26"/>
                              <w:szCs w:val="26"/>
                            </w:rPr>
                          </w:pPr>
                          <w:r w:rsidRPr="0065279D">
                            <w:rPr>
                              <w:rFonts w:ascii="Calibri" w:hAnsi="Calibri"/>
                              <w:noProof/>
                              <w:sz w:val="26"/>
                              <w:szCs w:val="26"/>
                            </w:rPr>
                            <w:t>ACTUARIAL ASSOCIATION OF EUROPE</w:t>
                          </w:r>
                        </w:p>
                        <w:p w:rsidR="00D2143A" w:rsidRDefault="00D2143A" w:rsidP="0046430C">
                          <w:pPr>
                            <w:jc w:val="right"/>
                            <w:rPr>
                              <w:rFonts w:ascii="Calibri" w:hAnsi="Calibri"/>
                              <w:sz w:val="18"/>
                              <w:szCs w:val="18"/>
                            </w:rPr>
                          </w:pPr>
                          <w:r w:rsidRPr="00A51824">
                            <w:rPr>
                              <w:rFonts w:ascii="Calibri" w:hAnsi="Calibri"/>
                              <w:sz w:val="18"/>
                              <w:szCs w:val="18"/>
                            </w:rPr>
                            <w:t>ASSOCIATION ACTUARIELLE EUROP</w:t>
                          </w:r>
                          <w:r w:rsidRPr="00A51824">
                            <w:rPr>
                              <w:rFonts w:ascii="Calibri" w:hAnsi="Calibri" w:cs="Arial"/>
                              <w:sz w:val="18"/>
                              <w:szCs w:val="18"/>
                            </w:rPr>
                            <w:t>É</w:t>
                          </w:r>
                          <w:r w:rsidRPr="00A51824">
                            <w:rPr>
                              <w:rFonts w:ascii="Calibri" w:hAnsi="Calibri"/>
                              <w:sz w:val="18"/>
                              <w:szCs w:val="18"/>
                            </w:rPr>
                            <w:t>ENNE</w:t>
                          </w:r>
                        </w:p>
                        <w:p w:rsidR="00D2143A" w:rsidRPr="00B91BB8" w:rsidRDefault="00D2143A" w:rsidP="0046430C">
                          <w:pPr>
                            <w:jc w:val="right"/>
                            <w:rPr>
                              <w:rFonts w:ascii="Calibri" w:hAnsi="Calibri"/>
                              <w:b/>
                              <w:sz w:val="18"/>
                              <w:szCs w:val="18"/>
                            </w:rPr>
                          </w:pPr>
                        </w:p>
                        <w:p w:rsidR="00D2143A" w:rsidRPr="00B91BB8" w:rsidRDefault="00D2143A" w:rsidP="0046430C">
                          <w:pPr>
                            <w:pStyle w:val="Heading2"/>
                            <w:rPr>
                              <w:rFonts w:ascii="Calibri" w:hAnsi="Calibri"/>
                              <w:sz w:val="18"/>
                              <w:szCs w:val="18"/>
                            </w:rPr>
                          </w:pPr>
                          <w:r>
                            <w:rPr>
                              <w:rFonts w:ascii="Calibri" w:hAnsi="Calibri"/>
                              <w:sz w:val="18"/>
                              <w:szCs w:val="18"/>
                            </w:rPr>
                            <w:t>1</w:t>
                          </w:r>
                          <w:r w:rsidRPr="00B91BB8">
                            <w:rPr>
                              <w:rFonts w:ascii="Calibri" w:hAnsi="Calibri"/>
                              <w:sz w:val="18"/>
                              <w:szCs w:val="18"/>
                            </w:rPr>
                            <w:t xml:space="preserve"> PLACE DU SAMEDI</w:t>
                          </w:r>
                        </w:p>
                        <w:p w:rsidR="00D2143A" w:rsidRPr="00B91BB8" w:rsidRDefault="00D2143A" w:rsidP="0046430C">
                          <w:pPr>
                            <w:pStyle w:val="Heading2"/>
                            <w:rPr>
                              <w:rFonts w:ascii="Calibri" w:hAnsi="Calibri"/>
                              <w:sz w:val="18"/>
                              <w:szCs w:val="18"/>
                            </w:rPr>
                          </w:pPr>
                          <w:r w:rsidRPr="00B91BB8">
                            <w:rPr>
                              <w:rFonts w:ascii="Calibri" w:hAnsi="Calibri"/>
                              <w:sz w:val="18"/>
                              <w:szCs w:val="18"/>
                            </w:rPr>
                            <w:t>B-1000  BRUSSELS, BELGIUM</w:t>
                          </w:r>
                        </w:p>
                        <w:p w:rsidR="00D2143A" w:rsidRPr="00A51824" w:rsidRDefault="00D2143A" w:rsidP="0046430C">
                          <w:pPr>
                            <w:spacing w:after="120" w:line="240" w:lineRule="auto"/>
                            <w:jc w:val="right"/>
                            <w:rPr>
                              <w:rFonts w:ascii="Calibri" w:hAnsi="Calibri"/>
                              <w:sz w:val="16"/>
                            </w:rPr>
                          </w:pPr>
                          <w:r w:rsidRPr="00A51824">
                            <w:rPr>
                              <w:rFonts w:ascii="Calibri" w:hAnsi="Calibri"/>
                              <w:sz w:val="16"/>
                            </w:rPr>
                            <w:t>TEL: (+32) 2</w:t>
                          </w:r>
                          <w:r>
                            <w:rPr>
                              <w:rFonts w:ascii="Calibri" w:hAnsi="Calibri"/>
                              <w:sz w:val="16"/>
                            </w:rPr>
                            <w:t xml:space="preserve"> </w:t>
                          </w:r>
                          <w:r w:rsidRPr="00A51824">
                            <w:rPr>
                              <w:rFonts w:ascii="Calibri" w:hAnsi="Calibri"/>
                              <w:sz w:val="16"/>
                            </w:rPr>
                            <w:t>2</w:t>
                          </w:r>
                          <w:r>
                            <w:rPr>
                              <w:rFonts w:ascii="Calibri" w:hAnsi="Calibri"/>
                              <w:sz w:val="16"/>
                            </w:rPr>
                            <w:t>01 60 21</w:t>
                          </w:r>
                          <w:r w:rsidRPr="00A51824">
                            <w:rPr>
                              <w:rFonts w:ascii="Calibri" w:hAnsi="Calibri"/>
                              <w:sz w:val="16"/>
                            </w:rPr>
                            <w:t xml:space="preserve"> </w:t>
                          </w:r>
                        </w:p>
                        <w:p w:rsidR="00D2143A" w:rsidRPr="00A51824" w:rsidRDefault="00D2143A" w:rsidP="0046430C">
                          <w:pPr>
                            <w:spacing w:line="240" w:lineRule="auto"/>
                            <w:jc w:val="right"/>
                            <w:rPr>
                              <w:rFonts w:ascii="Calibri" w:hAnsi="Calibri"/>
                              <w:sz w:val="18"/>
                            </w:rPr>
                          </w:pPr>
                          <w:r w:rsidRPr="00A51824">
                            <w:rPr>
                              <w:rFonts w:ascii="Calibri" w:hAnsi="Calibri"/>
                              <w:sz w:val="16"/>
                            </w:rPr>
                            <w:t xml:space="preserve">E-MAIL: </w:t>
                          </w:r>
                          <w:hyperlink r:id="rId1" w:history="1">
                            <w:r w:rsidRPr="00A51824">
                              <w:rPr>
                                <w:rStyle w:val="Hyperlink"/>
                                <w:rFonts w:ascii="Calibri" w:hAnsi="Calibri"/>
                                <w:sz w:val="18"/>
                              </w:rPr>
                              <w:t>info@actuary.eu</w:t>
                            </w:r>
                          </w:hyperlink>
                          <w:r w:rsidRPr="00A51824">
                            <w:rPr>
                              <w:rFonts w:ascii="Calibri" w:hAnsi="Calibri"/>
                              <w:sz w:val="18"/>
                            </w:rPr>
                            <w:t xml:space="preserve"> </w:t>
                          </w:r>
                        </w:p>
                        <w:p w:rsidR="00D2143A" w:rsidRPr="00A51824" w:rsidRDefault="00D2143A" w:rsidP="0046430C">
                          <w:pPr>
                            <w:spacing w:line="240" w:lineRule="exact"/>
                            <w:jc w:val="right"/>
                            <w:rPr>
                              <w:rFonts w:ascii="Calibri" w:hAnsi="Calibri"/>
                              <w:sz w:val="18"/>
                            </w:rPr>
                          </w:pPr>
                          <w:r w:rsidRPr="00A51824">
                            <w:rPr>
                              <w:rFonts w:ascii="Calibri" w:hAnsi="Calibri"/>
                              <w:sz w:val="16"/>
                            </w:rPr>
                            <w:t>WEB</w:t>
                          </w:r>
                          <w:r w:rsidRPr="00A51824">
                            <w:rPr>
                              <w:rFonts w:ascii="Calibri" w:hAnsi="Calibri"/>
                              <w:sz w:val="18"/>
                            </w:rPr>
                            <w:t xml:space="preserve">: </w:t>
                          </w:r>
                          <w:hyperlink r:id="rId2" w:history="1">
                            <w:r w:rsidRPr="00A51824">
                              <w:rPr>
                                <w:rStyle w:val="Hyperlink"/>
                                <w:rFonts w:ascii="Calibri" w:hAnsi="Calibri"/>
                                <w:sz w:val="18"/>
                              </w:rPr>
                              <w:t>www.actuary.eu</w:t>
                            </w:r>
                          </w:hyperlink>
                          <w:r w:rsidRPr="00A51824">
                            <w:rPr>
                              <w:rFonts w:ascii="Calibri" w:hAnsi="Calibri"/>
                              <w:sz w:val="18"/>
                            </w:rPr>
                            <w:t xml:space="preserve"> </w:t>
                          </w:r>
                        </w:p>
                        <w:p w:rsidR="00D2143A" w:rsidRPr="0046430C" w:rsidRDefault="00D2143A" w:rsidP="00464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0.05pt;margin-top:8.9pt;width:236.65pt;height:12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" stroked="f">
              <v:textbox>
                <w:txbxContent>
                  <w:p w:rsidR="00D2143A" w:rsidRPr="0065279D" w:rsidRDefault="00D2143A" w:rsidP="0046430C">
                    <w:pPr>
                      <w:pStyle w:val="Heading1"/>
                      <w:rPr>
                        <w:rFonts w:ascii="Calibri" w:hAnsi="Calibri"/>
                        <w:sz w:val="26"/>
                        <w:szCs w:val="26"/>
                      </w:rPr>
                    </w:pPr>
                    <w:r w:rsidRPr="0065279D">
                      <w:rPr>
                        <w:rFonts w:ascii="Calibri" w:hAnsi="Calibri"/>
                        <w:noProof/>
                        <w:sz w:val="26"/>
                        <w:szCs w:val="26"/>
                      </w:rPr>
                      <w:t>ACTUARIAL ASSOCIATION OF EUROPE</w:t>
                    </w:r>
                  </w:p>
                  <w:p w:rsidR="00D2143A" w:rsidRDefault="00D2143A" w:rsidP="0046430C">
                    <w:pPr>
                      <w:jc w:val="right"/>
                      <w:rPr>
                        <w:rFonts w:ascii="Calibri" w:hAnsi="Calibri"/>
                        <w:sz w:val="18"/>
                        <w:szCs w:val="18"/>
                      </w:rPr>
                    </w:pPr>
                    <w:r w:rsidRPr="00A51824">
                      <w:rPr>
                        <w:rFonts w:ascii="Calibri" w:hAnsi="Calibri"/>
                        <w:sz w:val="18"/>
                        <w:szCs w:val="18"/>
                      </w:rPr>
                      <w:t>ASSOCIATION ACTUARIELLE EUROP</w:t>
                    </w:r>
                    <w:r w:rsidRPr="00A51824">
                      <w:rPr>
                        <w:rFonts w:ascii="Calibri" w:hAnsi="Calibri" w:cs="Arial"/>
                        <w:sz w:val="18"/>
                        <w:szCs w:val="18"/>
                      </w:rPr>
                      <w:t>É</w:t>
                    </w:r>
                    <w:r w:rsidRPr="00A51824">
                      <w:rPr>
                        <w:rFonts w:ascii="Calibri" w:hAnsi="Calibri"/>
                        <w:sz w:val="18"/>
                        <w:szCs w:val="18"/>
                      </w:rPr>
                      <w:t>ENNE</w:t>
                    </w:r>
                  </w:p>
                  <w:p w:rsidR="00D2143A" w:rsidRPr="00B91BB8" w:rsidRDefault="00D2143A" w:rsidP="0046430C">
                    <w:pPr>
                      <w:jc w:val="right"/>
                      <w:rPr>
                        <w:rFonts w:ascii="Calibri" w:hAnsi="Calibri"/>
                        <w:b/>
                        <w:sz w:val="18"/>
                        <w:szCs w:val="18"/>
                      </w:rPr>
                    </w:pPr>
                  </w:p>
                  <w:p w:rsidR="00D2143A" w:rsidRPr="00B91BB8" w:rsidRDefault="00D2143A" w:rsidP="0046430C">
                    <w:pPr>
                      <w:pStyle w:val="Heading2"/>
                      <w:rPr>
                        <w:rFonts w:ascii="Calibri" w:hAnsi="Calibri"/>
                        <w:sz w:val="18"/>
                        <w:szCs w:val="18"/>
                      </w:rPr>
                    </w:pPr>
                    <w:r>
                      <w:rPr>
                        <w:rFonts w:ascii="Calibri" w:hAnsi="Calibri"/>
                        <w:sz w:val="18"/>
                        <w:szCs w:val="18"/>
                      </w:rPr>
                      <w:t>1</w:t>
                    </w:r>
                    <w:r w:rsidRPr="00B91BB8">
                      <w:rPr>
                        <w:rFonts w:ascii="Calibri" w:hAnsi="Calibri"/>
                        <w:sz w:val="18"/>
                        <w:szCs w:val="18"/>
                      </w:rPr>
                      <w:t xml:space="preserve"> PLACE DU SAMEDI</w:t>
                    </w:r>
                  </w:p>
                  <w:p w:rsidR="00D2143A" w:rsidRPr="00B91BB8" w:rsidRDefault="00D2143A" w:rsidP="0046430C">
                    <w:pPr>
                      <w:pStyle w:val="Heading2"/>
                      <w:rPr>
                        <w:rFonts w:ascii="Calibri" w:hAnsi="Calibri"/>
                        <w:sz w:val="18"/>
                        <w:szCs w:val="18"/>
                      </w:rPr>
                    </w:pPr>
                    <w:r w:rsidRPr="00B91BB8">
                      <w:rPr>
                        <w:rFonts w:ascii="Calibri" w:hAnsi="Calibri"/>
                        <w:sz w:val="18"/>
                        <w:szCs w:val="18"/>
                      </w:rPr>
                      <w:t>B-1000  BRUSSELS, BELGIUM</w:t>
                    </w:r>
                  </w:p>
                  <w:p w:rsidR="00D2143A" w:rsidRPr="00A51824" w:rsidRDefault="00D2143A" w:rsidP="0046430C">
                    <w:pPr>
                      <w:spacing w:after="120" w:line="240" w:lineRule="auto"/>
                      <w:jc w:val="right"/>
                      <w:rPr>
                        <w:rFonts w:ascii="Calibri" w:hAnsi="Calibri"/>
                        <w:sz w:val="16"/>
                      </w:rPr>
                    </w:pPr>
                    <w:r w:rsidRPr="00A51824">
                      <w:rPr>
                        <w:rFonts w:ascii="Calibri" w:hAnsi="Calibri"/>
                        <w:sz w:val="16"/>
                      </w:rPr>
                      <w:t>TEL: (+32) 2</w:t>
                    </w:r>
                    <w:r>
                      <w:rPr>
                        <w:rFonts w:ascii="Calibri" w:hAnsi="Calibri"/>
                        <w:sz w:val="16"/>
                      </w:rPr>
                      <w:t xml:space="preserve"> </w:t>
                    </w:r>
                    <w:r w:rsidRPr="00A51824">
                      <w:rPr>
                        <w:rFonts w:ascii="Calibri" w:hAnsi="Calibri"/>
                        <w:sz w:val="16"/>
                      </w:rPr>
                      <w:t>2</w:t>
                    </w:r>
                    <w:r>
                      <w:rPr>
                        <w:rFonts w:ascii="Calibri" w:hAnsi="Calibri"/>
                        <w:sz w:val="16"/>
                      </w:rPr>
                      <w:t>01 60 21</w:t>
                    </w:r>
                    <w:r w:rsidRPr="00A51824">
                      <w:rPr>
                        <w:rFonts w:ascii="Calibri" w:hAnsi="Calibri"/>
                        <w:sz w:val="16"/>
                      </w:rPr>
                      <w:t xml:space="preserve"> </w:t>
                    </w:r>
                  </w:p>
                  <w:p w:rsidR="00D2143A" w:rsidRPr="00A51824" w:rsidRDefault="00D2143A" w:rsidP="0046430C">
                    <w:pPr>
                      <w:spacing w:line="240" w:lineRule="auto"/>
                      <w:jc w:val="right"/>
                      <w:rPr>
                        <w:rFonts w:ascii="Calibri" w:hAnsi="Calibri"/>
                        <w:sz w:val="18"/>
                      </w:rPr>
                    </w:pPr>
                    <w:r w:rsidRPr="00A51824">
                      <w:rPr>
                        <w:rFonts w:ascii="Calibri" w:hAnsi="Calibri"/>
                        <w:sz w:val="16"/>
                      </w:rPr>
                      <w:t xml:space="preserve">E-MAIL: </w:t>
                    </w:r>
                    <w:hyperlink r:id="rId3" w:history="1">
                      <w:r w:rsidRPr="00A51824">
                        <w:rPr>
                          <w:rStyle w:val="Hyperlink"/>
                          <w:rFonts w:ascii="Calibri" w:hAnsi="Calibri"/>
                          <w:sz w:val="18"/>
                        </w:rPr>
                        <w:t>info@actuary.eu</w:t>
                      </w:r>
                    </w:hyperlink>
                    <w:r w:rsidRPr="00A51824">
                      <w:rPr>
                        <w:rFonts w:ascii="Calibri" w:hAnsi="Calibri"/>
                        <w:sz w:val="18"/>
                      </w:rPr>
                      <w:t xml:space="preserve"> </w:t>
                    </w:r>
                  </w:p>
                  <w:p w:rsidR="00D2143A" w:rsidRPr="00A51824" w:rsidRDefault="00D2143A" w:rsidP="0046430C">
                    <w:pPr>
                      <w:spacing w:line="240" w:lineRule="exact"/>
                      <w:jc w:val="right"/>
                      <w:rPr>
                        <w:rFonts w:ascii="Calibri" w:hAnsi="Calibri"/>
                        <w:sz w:val="18"/>
                      </w:rPr>
                    </w:pPr>
                    <w:r w:rsidRPr="00A51824">
                      <w:rPr>
                        <w:rFonts w:ascii="Calibri" w:hAnsi="Calibri"/>
                        <w:sz w:val="16"/>
                      </w:rPr>
                      <w:t>WEB</w:t>
                    </w:r>
                    <w:r w:rsidRPr="00A51824">
                      <w:rPr>
                        <w:rFonts w:ascii="Calibri" w:hAnsi="Calibri"/>
                        <w:sz w:val="18"/>
                      </w:rPr>
                      <w:t xml:space="preserve">: </w:t>
                    </w:r>
                    <w:hyperlink r:id="rId4" w:history="1">
                      <w:r w:rsidRPr="00A51824">
                        <w:rPr>
                          <w:rStyle w:val="Hyperlink"/>
                          <w:rFonts w:ascii="Calibri" w:hAnsi="Calibri"/>
                          <w:sz w:val="18"/>
                        </w:rPr>
                        <w:t>www.actuary.eu</w:t>
                      </w:r>
                    </w:hyperlink>
                    <w:r w:rsidRPr="00A51824">
                      <w:rPr>
                        <w:rFonts w:ascii="Calibri" w:hAnsi="Calibri"/>
                        <w:sz w:val="18"/>
                      </w:rPr>
                      <w:t xml:space="preserve"> </w:t>
                    </w:r>
                  </w:p>
                  <w:p w:rsidR="00D2143A" w:rsidRPr="0046430C" w:rsidRDefault="00D2143A" w:rsidP="0046430C"/>
                </w:txbxContent>
              </v:textbox>
            </v:shape>
          </w:pict>
        </mc:Fallback>
      </mc:AlternateContent>
    </w:r>
    <w:r w:rsidR="00732E47">
      <w:rPr>
        <w:noProof/>
        <w:lang w:val="en-US" w:eastAsia="en-US"/>
      </w:rPr>
      <w:drawing>
        <wp:inline distT="0" distB="0" distL="0" distR="0">
          <wp:extent cx="2894330" cy="1002030"/>
          <wp:effectExtent l="19050" t="0" r="127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2894330" cy="1002030"/>
                  </a:xfrm>
                  <a:prstGeom prst="rect">
                    <a:avLst/>
                  </a:prstGeom>
                  <a:noFill/>
                  <a:ln w="9525">
                    <a:noFill/>
                    <a:miter lim="800000"/>
                    <a:headEnd/>
                    <a:tailEnd/>
                  </a:ln>
                </pic:spPr>
              </pic:pic>
            </a:graphicData>
          </a:graphic>
        </wp:inline>
      </w:drawing>
    </w:r>
  </w:p>
  <w:p w:rsidR="00D2143A" w:rsidRPr="0046430C" w:rsidRDefault="00D2143A" w:rsidP="0046430C"/>
  <w:p w:rsidR="00D2143A" w:rsidRDefault="00D2143A" w:rsidP="00526141">
    <w:pPr>
      <w:pStyle w:val="Heading1"/>
      <w:rPr>
        <w:rFonts w:ascii="Calibri" w:hAnsi="Calibri"/>
        <w:noProof/>
        <w:sz w:val="26"/>
        <w:szCs w:val="26"/>
      </w:rPr>
    </w:pPr>
  </w:p>
  <w:p w:rsidR="00D2143A" w:rsidRDefault="00D2143A" w:rsidP="00526141">
    <w:pPr>
      <w:pStyle w:val="Heading1"/>
      <w:rPr>
        <w:rFonts w:ascii="Calibri" w:hAnsi="Calibri"/>
        <w:noProof/>
        <w:sz w:val="26"/>
        <w:szCs w:val="26"/>
      </w:rPr>
    </w:pPr>
  </w:p>
  <w:p w:rsidR="00D2143A" w:rsidRDefault="00D2143A" w:rsidP="00526141">
    <w:pPr>
      <w:pStyle w:val="Heading1"/>
      <w:rPr>
        <w:rFonts w:ascii="Calibri" w:hAnsi="Calibri"/>
        <w:noProof/>
        <w:sz w:val="26"/>
        <w:szCs w:val="26"/>
      </w:rPr>
    </w:pPr>
  </w:p>
  <w:p w:rsidR="00D2143A" w:rsidRDefault="00D2143A" w:rsidP="007A687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59A21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6C40D6"/>
    <w:multiLevelType w:val="hybridMultilevel"/>
    <w:tmpl w:val="19624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A445B1"/>
    <w:multiLevelType w:val="hybridMultilevel"/>
    <w:tmpl w:val="A4887FEC"/>
    <w:lvl w:ilvl="0" w:tplc="FE7A3398">
      <w:start w:val="99"/>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F3CB4"/>
    <w:multiLevelType w:val="multilevel"/>
    <w:tmpl w:val="0C1C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B65135"/>
    <w:multiLevelType w:val="multilevel"/>
    <w:tmpl w:val="57DA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321FF6"/>
    <w:multiLevelType w:val="multilevel"/>
    <w:tmpl w:val="AF56E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633FDD"/>
    <w:multiLevelType w:val="multilevel"/>
    <w:tmpl w:val="A5B81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CB230D"/>
    <w:multiLevelType w:val="multilevel"/>
    <w:tmpl w:val="AE72F3C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32C603FE"/>
    <w:multiLevelType w:val="hybridMultilevel"/>
    <w:tmpl w:val="98660464"/>
    <w:lvl w:ilvl="0" w:tplc="A95CD21A">
      <w:start w:val="1"/>
      <w:numFmt w:val="decimal"/>
      <w:lvlText w:val="%1."/>
      <w:lvlJc w:val="left"/>
      <w:pPr>
        <w:ind w:left="720" w:hanging="360"/>
      </w:pPr>
      <w:rPr>
        <w:rFonts w:cs="Arial" w:hint="default"/>
        <w:i/>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FF2E85"/>
    <w:multiLevelType w:val="multilevel"/>
    <w:tmpl w:val="DB4C8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9367F6"/>
    <w:multiLevelType w:val="multilevel"/>
    <w:tmpl w:val="0634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FF0B95"/>
    <w:multiLevelType w:val="multilevel"/>
    <w:tmpl w:val="630E8670"/>
    <w:lvl w:ilvl="0">
      <w:start w:val="1"/>
      <w:numFmt w:val="decimal"/>
      <w:lvlText w:val="%1."/>
      <w:lvlJc w:val="left"/>
      <w:pPr>
        <w:ind w:left="1069"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2">
    <w:nsid w:val="3B4E56F9"/>
    <w:multiLevelType w:val="hybridMultilevel"/>
    <w:tmpl w:val="9EB291C4"/>
    <w:lvl w:ilvl="0" w:tplc="08090005">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3124A3E"/>
    <w:multiLevelType w:val="multilevel"/>
    <w:tmpl w:val="630E8670"/>
    <w:lvl w:ilvl="0">
      <w:start w:val="1"/>
      <w:numFmt w:val="decimal"/>
      <w:lvlText w:val="%1."/>
      <w:lvlJc w:val="left"/>
      <w:pPr>
        <w:ind w:left="1069"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4">
    <w:nsid w:val="44F5282D"/>
    <w:multiLevelType w:val="multilevel"/>
    <w:tmpl w:val="05C0F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2F00A0"/>
    <w:multiLevelType w:val="hybridMultilevel"/>
    <w:tmpl w:val="BE6CDC46"/>
    <w:lvl w:ilvl="0" w:tplc="BC06ED28">
      <w:start w:val="99"/>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AF25E4"/>
    <w:multiLevelType w:val="multilevel"/>
    <w:tmpl w:val="A116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D2735E"/>
    <w:multiLevelType w:val="hybridMultilevel"/>
    <w:tmpl w:val="239C73E6"/>
    <w:lvl w:ilvl="0" w:tplc="569042FC">
      <w:start w:val="2"/>
      <w:numFmt w:val="bullet"/>
      <w:lvlText w:val="-"/>
      <w:lvlJc w:val="left"/>
      <w:pPr>
        <w:ind w:left="720" w:hanging="360"/>
      </w:pPr>
      <w:rPr>
        <w:rFonts w:ascii="Calibri" w:eastAsia="Times New Roman" w:hAnsi="Calibri" w:cs="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8534C9"/>
    <w:multiLevelType w:val="hybridMultilevel"/>
    <w:tmpl w:val="8E5AB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9BD6B92"/>
    <w:multiLevelType w:val="multilevel"/>
    <w:tmpl w:val="3634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F360E6"/>
    <w:multiLevelType w:val="hybridMultilevel"/>
    <w:tmpl w:val="FFB69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81832EA"/>
    <w:multiLevelType w:val="multilevel"/>
    <w:tmpl w:val="FD704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1446CA"/>
    <w:multiLevelType w:val="hybridMultilevel"/>
    <w:tmpl w:val="F75410D6"/>
    <w:lvl w:ilvl="0" w:tplc="7192712A">
      <w:start w:val="2"/>
      <w:numFmt w:val="bullet"/>
      <w:lvlText w:val="-"/>
      <w:lvlJc w:val="left"/>
      <w:pPr>
        <w:ind w:left="1080" w:hanging="360"/>
      </w:pPr>
      <w:rPr>
        <w:rFonts w:ascii="Calibri" w:eastAsia="Times New Roman" w:hAnsi="Calibri" w:cs="Times New Roman" w:hint="default"/>
        <w:i/>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B7C4A0C"/>
    <w:multiLevelType w:val="multilevel"/>
    <w:tmpl w:val="CA64D6F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nsid w:val="6C5C5F90"/>
    <w:multiLevelType w:val="multilevel"/>
    <w:tmpl w:val="D49C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CE2602"/>
    <w:multiLevelType w:val="multilevel"/>
    <w:tmpl w:val="90B4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967071"/>
    <w:multiLevelType w:val="multilevel"/>
    <w:tmpl w:val="DA96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F30EA8"/>
    <w:multiLevelType w:val="hybridMultilevel"/>
    <w:tmpl w:val="46627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E696282"/>
    <w:multiLevelType w:val="multilevel"/>
    <w:tmpl w:val="B2DE6BA8"/>
    <w:lvl w:ilvl="0">
      <w:start w:val="1"/>
      <w:numFmt w:val="decimal"/>
      <w:lvlText w:val="%1."/>
      <w:lvlJc w:val="left"/>
      <w:pPr>
        <w:ind w:left="1069"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num w:numId="1">
    <w:abstractNumId w:val="12"/>
  </w:num>
  <w:num w:numId="2">
    <w:abstractNumId w:val="18"/>
  </w:num>
  <w:num w:numId="3">
    <w:abstractNumId w:val="8"/>
  </w:num>
  <w:num w:numId="4">
    <w:abstractNumId w:val="1"/>
  </w:num>
  <w:num w:numId="5">
    <w:abstractNumId w:val="17"/>
  </w:num>
  <w:num w:numId="6">
    <w:abstractNumId w:val="22"/>
  </w:num>
  <w:num w:numId="7">
    <w:abstractNumId w:val="0"/>
  </w:num>
  <w:num w:numId="8">
    <w:abstractNumId w:val="2"/>
  </w:num>
  <w:num w:numId="9">
    <w:abstractNumId w:val="15"/>
  </w:num>
  <w:num w:numId="10">
    <w:abstractNumId w:val="28"/>
  </w:num>
  <w:num w:numId="11">
    <w:abstractNumId w:val="13"/>
  </w:num>
  <w:num w:numId="12">
    <w:abstractNumId w:val="11"/>
  </w:num>
  <w:num w:numId="13">
    <w:abstractNumId w:val="20"/>
  </w:num>
  <w:num w:numId="14">
    <w:abstractNumId w:val="27"/>
  </w:num>
  <w:num w:numId="15">
    <w:abstractNumId w:val="9"/>
  </w:num>
  <w:num w:numId="16">
    <w:abstractNumId w:val="6"/>
  </w:num>
  <w:num w:numId="17">
    <w:abstractNumId w:val="14"/>
  </w:num>
  <w:num w:numId="18">
    <w:abstractNumId w:val="5"/>
  </w:num>
  <w:num w:numId="19">
    <w:abstractNumId w:val="23"/>
  </w:num>
  <w:num w:numId="20">
    <w:abstractNumId w:val="7"/>
  </w:num>
  <w:num w:numId="21">
    <w:abstractNumId w:val="24"/>
  </w:num>
  <w:num w:numId="22">
    <w:abstractNumId w:val="4"/>
  </w:num>
  <w:num w:numId="23">
    <w:abstractNumId w:val="19"/>
  </w:num>
  <w:num w:numId="24">
    <w:abstractNumId w:val="25"/>
  </w:num>
  <w:num w:numId="25">
    <w:abstractNumId w:val="16"/>
  </w:num>
  <w:num w:numId="26">
    <w:abstractNumId w:val="10"/>
  </w:num>
  <w:num w:numId="27">
    <w:abstractNumId w:val="26"/>
  </w:num>
  <w:num w:numId="28">
    <w:abstractNumId w:val="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2E"/>
    <w:rsid w:val="00000938"/>
    <w:rsid w:val="00011058"/>
    <w:rsid w:val="000504A9"/>
    <w:rsid w:val="00051F0F"/>
    <w:rsid w:val="00056420"/>
    <w:rsid w:val="00061463"/>
    <w:rsid w:val="0009592C"/>
    <w:rsid w:val="0009602B"/>
    <w:rsid w:val="000A6714"/>
    <w:rsid w:val="000A7C2F"/>
    <w:rsid w:val="000A7F32"/>
    <w:rsid w:val="000C64EB"/>
    <w:rsid w:val="000D0302"/>
    <w:rsid w:val="000D2BCE"/>
    <w:rsid w:val="000D6A7F"/>
    <w:rsid w:val="001133AC"/>
    <w:rsid w:val="0015154F"/>
    <w:rsid w:val="001634F5"/>
    <w:rsid w:val="00164BA2"/>
    <w:rsid w:val="00167BDC"/>
    <w:rsid w:val="0017487C"/>
    <w:rsid w:val="00175D89"/>
    <w:rsid w:val="00176214"/>
    <w:rsid w:val="0019428D"/>
    <w:rsid w:val="001B2D14"/>
    <w:rsid w:val="001B2E5D"/>
    <w:rsid w:val="001D13EC"/>
    <w:rsid w:val="001D146E"/>
    <w:rsid w:val="001F4591"/>
    <w:rsid w:val="002107A5"/>
    <w:rsid w:val="00226DB3"/>
    <w:rsid w:val="00227070"/>
    <w:rsid w:val="002568EA"/>
    <w:rsid w:val="00260604"/>
    <w:rsid w:val="002628FA"/>
    <w:rsid w:val="002A1926"/>
    <w:rsid w:val="002A48B6"/>
    <w:rsid w:val="002D7164"/>
    <w:rsid w:val="002E5B9C"/>
    <w:rsid w:val="00324B78"/>
    <w:rsid w:val="0034625E"/>
    <w:rsid w:val="00352D3F"/>
    <w:rsid w:val="00362832"/>
    <w:rsid w:val="003652B3"/>
    <w:rsid w:val="003674A0"/>
    <w:rsid w:val="003700AC"/>
    <w:rsid w:val="00370151"/>
    <w:rsid w:val="00375DE4"/>
    <w:rsid w:val="0038551D"/>
    <w:rsid w:val="003903C5"/>
    <w:rsid w:val="003A324E"/>
    <w:rsid w:val="003B2A30"/>
    <w:rsid w:val="003F4DE7"/>
    <w:rsid w:val="00433BBE"/>
    <w:rsid w:val="00435A3D"/>
    <w:rsid w:val="004372C6"/>
    <w:rsid w:val="00443DCA"/>
    <w:rsid w:val="00446930"/>
    <w:rsid w:val="00454EF7"/>
    <w:rsid w:val="00456170"/>
    <w:rsid w:val="0046430C"/>
    <w:rsid w:val="004672C5"/>
    <w:rsid w:val="00473AE9"/>
    <w:rsid w:val="004A1025"/>
    <w:rsid w:val="004A3B1B"/>
    <w:rsid w:val="004A4072"/>
    <w:rsid w:val="004D02A7"/>
    <w:rsid w:val="004E0BDC"/>
    <w:rsid w:val="004E5A9A"/>
    <w:rsid w:val="004F26A2"/>
    <w:rsid w:val="00503184"/>
    <w:rsid w:val="00526141"/>
    <w:rsid w:val="005300B1"/>
    <w:rsid w:val="005331F9"/>
    <w:rsid w:val="00535CB5"/>
    <w:rsid w:val="00537B99"/>
    <w:rsid w:val="00543D8D"/>
    <w:rsid w:val="005506F0"/>
    <w:rsid w:val="005550B8"/>
    <w:rsid w:val="00563839"/>
    <w:rsid w:val="005773AE"/>
    <w:rsid w:val="0059542B"/>
    <w:rsid w:val="00595F64"/>
    <w:rsid w:val="005B2A2E"/>
    <w:rsid w:val="005D4E2B"/>
    <w:rsid w:val="005E15E9"/>
    <w:rsid w:val="005F7E5E"/>
    <w:rsid w:val="006079CF"/>
    <w:rsid w:val="00640CF4"/>
    <w:rsid w:val="00641131"/>
    <w:rsid w:val="0064171A"/>
    <w:rsid w:val="00645A12"/>
    <w:rsid w:val="006539A4"/>
    <w:rsid w:val="00662835"/>
    <w:rsid w:val="00663C61"/>
    <w:rsid w:val="00670D89"/>
    <w:rsid w:val="006774A5"/>
    <w:rsid w:val="006820F1"/>
    <w:rsid w:val="006A4DD9"/>
    <w:rsid w:val="006B5FFF"/>
    <w:rsid w:val="006D14C9"/>
    <w:rsid w:val="006D3402"/>
    <w:rsid w:val="006E33D5"/>
    <w:rsid w:val="006E5D67"/>
    <w:rsid w:val="006E644A"/>
    <w:rsid w:val="00732E47"/>
    <w:rsid w:val="00733382"/>
    <w:rsid w:val="0075230B"/>
    <w:rsid w:val="00755CD0"/>
    <w:rsid w:val="007625A9"/>
    <w:rsid w:val="0076336D"/>
    <w:rsid w:val="0076739D"/>
    <w:rsid w:val="00767927"/>
    <w:rsid w:val="00767986"/>
    <w:rsid w:val="00770360"/>
    <w:rsid w:val="00775A37"/>
    <w:rsid w:val="007A23C8"/>
    <w:rsid w:val="007A2791"/>
    <w:rsid w:val="007A5765"/>
    <w:rsid w:val="007A6667"/>
    <w:rsid w:val="007A6874"/>
    <w:rsid w:val="007C4A64"/>
    <w:rsid w:val="007D0029"/>
    <w:rsid w:val="007D5F3D"/>
    <w:rsid w:val="007E5049"/>
    <w:rsid w:val="00825789"/>
    <w:rsid w:val="00834289"/>
    <w:rsid w:val="008400D6"/>
    <w:rsid w:val="008411E4"/>
    <w:rsid w:val="00841D06"/>
    <w:rsid w:val="008461C0"/>
    <w:rsid w:val="00861BA2"/>
    <w:rsid w:val="0086373C"/>
    <w:rsid w:val="00863D52"/>
    <w:rsid w:val="00870C0B"/>
    <w:rsid w:val="00881F36"/>
    <w:rsid w:val="00882935"/>
    <w:rsid w:val="008873E7"/>
    <w:rsid w:val="008948B7"/>
    <w:rsid w:val="008A2B1A"/>
    <w:rsid w:val="008B60EB"/>
    <w:rsid w:val="008F79A6"/>
    <w:rsid w:val="0091155B"/>
    <w:rsid w:val="009337C1"/>
    <w:rsid w:val="009364AA"/>
    <w:rsid w:val="0094090A"/>
    <w:rsid w:val="00945B57"/>
    <w:rsid w:val="0095279B"/>
    <w:rsid w:val="00960F8F"/>
    <w:rsid w:val="00970C74"/>
    <w:rsid w:val="009763B9"/>
    <w:rsid w:val="00987DFD"/>
    <w:rsid w:val="009B65FF"/>
    <w:rsid w:val="009C3388"/>
    <w:rsid w:val="009D176C"/>
    <w:rsid w:val="009D6846"/>
    <w:rsid w:val="009F23B1"/>
    <w:rsid w:val="009F63D6"/>
    <w:rsid w:val="00A11DA0"/>
    <w:rsid w:val="00A1571F"/>
    <w:rsid w:val="00A2024C"/>
    <w:rsid w:val="00A23669"/>
    <w:rsid w:val="00A37DE3"/>
    <w:rsid w:val="00A5246F"/>
    <w:rsid w:val="00A675FD"/>
    <w:rsid w:val="00A71F88"/>
    <w:rsid w:val="00A74BB4"/>
    <w:rsid w:val="00A87455"/>
    <w:rsid w:val="00A90EEB"/>
    <w:rsid w:val="00A951BC"/>
    <w:rsid w:val="00AB30CF"/>
    <w:rsid w:val="00AB504E"/>
    <w:rsid w:val="00AB67BA"/>
    <w:rsid w:val="00AC08EC"/>
    <w:rsid w:val="00AD7BD3"/>
    <w:rsid w:val="00AE3E6F"/>
    <w:rsid w:val="00AF5167"/>
    <w:rsid w:val="00B05719"/>
    <w:rsid w:val="00B15245"/>
    <w:rsid w:val="00B260F5"/>
    <w:rsid w:val="00B26955"/>
    <w:rsid w:val="00B312D1"/>
    <w:rsid w:val="00B42299"/>
    <w:rsid w:val="00B53E9B"/>
    <w:rsid w:val="00B74E46"/>
    <w:rsid w:val="00B80525"/>
    <w:rsid w:val="00B82CBD"/>
    <w:rsid w:val="00B86036"/>
    <w:rsid w:val="00B97846"/>
    <w:rsid w:val="00BB67EB"/>
    <w:rsid w:val="00BD7A59"/>
    <w:rsid w:val="00BE6812"/>
    <w:rsid w:val="00BF54A5"/>
    <w:rsid w:val="00C01DBE"/>
    <w:rsid w:val="00C060B8"/>
    <w:rsid w:val="00C130D9"/>
    <w:rsid w:val="00C25DDA"/>
    <w:rsid w:val="00C4143D"/>
    <w:rsid w:val="00C702C1"/>
    <w:rsid w:val="00C726DE"/>
    <w:rsid w:val="00C730FE"/>
    <w:rsid w:val="00C757B7"/>
    <w:rsid w:val="00C82C73"/>
    <w:rsid w:val="00C90836"/>
    <w:rsid w:val="00C96597"/>
    <w:rsid w:val="00C9776B"/>
    <w:rsid w:val="00CB7503"/>
    <w:rsid w:val="00CD59A4"/>
    <w:rsid w:val="00CE0EC2"/>
    <w:rsid w:val="00CE699E"/>
    <w:rsid w:val="00CE6E52"/>
    <w:rsid w:val="00D1154C"/>
    <w:rsid w:val="00D20D5C"/>
    <w:rsid w:val="00D2143A"/>
    <w:rsid w:val="00D21FDE"/>
    <w:rsid w:val="00D31450"/>
    <w:rsid w:val="00D335E3"/>
    <w:rsid w:val="00D53F12"/>
    <w:rsid w:val="00D64F63"/>
    <w:rsid w:val="00D653DD"/>
    <w:rsid w:val="00D72BFF"/>
    <w:rsid w:val="00D73E1C"/>
    <w:rsid w:val="00D90558"/>
    <w:rsid w:val="00DA5AAB"/>
    <w:rsid w:val="00DB1E5A"/>
    <w:rsid w:val="00DF2850"/>
    <w:rsid w:val="00E111C2"/>
    <w:rsid w:val="00E320B6"/>
    <w:rsid w:val="00E35C8A"/>
    <w:rsid w:val="00E50757"/>
    <w:rsid w:val="00E64C1E"/>
    <w:rsid w:val="00E71A8C"/>
    <w:rsid w:val="00E74ADF"/>
    <w:rsid w:val="00E95AD1"/>
    <w:rsid w:val="00EB3E62"/>
    <w:rsid w:val="00EB5D05"/>
    <w:rsid w:val="00EC3153"/>
    <w:rsid w:val="00EC3214"/>
    <w:rsid w:val="00EC5133"/>
    <w:rsid w:val="00ED29AA"/>
    <w:rsid w:val="00ED6120"/>
    <w:rsid w:val="00EE36DF"/>
    <w:rsid w:val="00F02B1D"/>
    <w:rsid w:val="00F12CD1"/>
    <w:rsid w:val="00F612BE"/>
    <w:rsid w:val="00F71B22"/>
    <w:rsid w:val="00F96080"/>
    <w:rsid w:val="00FB22EF"/>
    <w:rsid w:val="00FB388F"/>
    <w:rsid w:val="00FD5B03"/>
    <w:rsid w:val="00FE4524"/>
    <w:rsid w:val="00FE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2D1A53C-D7A2-47D5-B636-72157666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1C0"/>
    <w:pPr>
      <w:spacing w:line="280" w:lineRule="atLeast"/>
    </w:pPr>
    <w:rPr>
      <w:rFonts w:ascii="Arial" w:hAnsi="Arial"/>
    </w:rPr>
  </w:style>
  <w:style w:type="paragraph" w:styleId="Heading1">
    <w:name w:val="heading 1"/>
    <w:basedOn w:val="Normal"/>
    <w:next w:val="Normal"/>
    <w:qFormat/>
    <w:rsid w:val="008461C0"/>
    <w:pPr>
      <w:keepNext/>
      <w:spacing w:line="240" w:lineRule="auto"/>
      <w:jc w:val="right"/>
      <w:outlineLvl w:val="0"/>
    </w:pPr>
    <w:rPr>
      <w:b/>
      <w:sz w:val="24"/>
    </w:rPr>
  </w:style>
  <w:style w:type="paragraph" w:styleId="Heading2">
    <w:name w:val="heading 2"/>
    <w:basedOn w:val="Normal"/>
    <w:next w:val="Normal"/>
    <w:link w:val="Heading2Char"/>
    <w:qFormat/>
    <w:rsid w:val="008461C0"/>
    <w:pPr>
      <w:keepNext/>
      <w:spacing w:after="120" w:line="240" w:lineRule="auto"/>
      <w:jc w:val="right"/>
      <w:outlineLvl w:val="1"/>
    </w:pPr>
    <w:rPr>
      <w:b/>
      <w:sz w:val="16"/>
    </w:rPr>
  </w:style>
  <w:style w:type="paragraph" w:styleId="Heading3">
    <w:name w:val="heading 3"/>
    <w:basedOn w:val="Normal"/>
    <w:next w:val="Normal"/>
    <w:qFormat/>
    <w:rsid w:val="008461C0"/>
    <w:pPr>
      <w:keepNext/>
      <w:outlineLvl w:val="2"/>
    </w:pPr>
    <w:rPr>
      <w:b/>
      <w:snapToGrid w:val="0"/>
      <w:lang w:eastAsia="en-US"/>
    </w:rPr>
  </w:style>
  <w:style w:type="paragraph" w:styleId="Heading4">
    <w:name w:val="heading 4"/>
    <w:basedOn w:val="Normal"/>
    <w:next w:val="Normal"/>
    <w:qFormat/>
    <w:rsid w:val="008461C0"/>
    <w:pPr>
      <w:keepNext/>
      <w:outlineLvl w:val="3"/>
    </w:pPr>
    <w:rPr>
      <w:b/>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61C0"/>
    <w:rPr>
      <w:color w:val="0000FF"/>
      <w:u w:val="single"/>
    </w:rPr>
  </w:style>
  <w:style w:type="paragraph" w:styleId="BlockText">
    <w:name w:val="Block Text"/>
    <w:basedOn w:val="Normal"/>
    <w:rsid w:val="008461C0"/>
    <w:pPr>
      <w:spacing w:line="360" w:lineRule="auto"/>
      <w:ind w:left="720" w:right="720"/>
    </w:pPr>
    <w:rPr>
      <w:rFonts w:ascii="Times New Roman" w:hAnsi="Times New Roman"/>
      <w:i/>
      <w:snapToGrid w:val="0"/>
      <w:sz w:val="22"/>
      <w:lang w:eastAsia="en-US"/>
    </w:rPr>
  </w:style>
  <w:style w:type="paragraph" w:styleId="Header">
    <w:name w:val="header"/>
    <w:basedOn w:val="Normal"/>
    <w:rsid w:val="008461C0"/>
    <w:pPr>
      <w:tabs>
        <w:tab w:val="center" w:pos="4153"/>
        <w:tab w:val="right" w:pos="8306"/>
      </w:tabs>
    </w:pPr>
  </w:style>
  <w:style w:type="paragraph" w:styleId="Footer">
    <w:name w:val="footer"/>
    <w:basedOn w:val="Normal"/>
    <w:link w:val="FooterChar"/>
    <w:uiPriority w:val="99"/>
    <w:rsid w:val="008461C0"/>
    <w:pPr>
      <w:tabs>
        <w:tab w:val="center" w:pos="4153"/>
        <w:tab w:val="right" w:pos="8306"/>
      </w:tabs>
    </w:pPr>
  </w:style>
  <w:style w:type="character" w:styleId="PageNumber">
    <w:name w:val="page number"/>
    <w:basedOn w:val="DefaultParagraphFont"/>
    <w:rsid w:val="008461C0"/>
  </w:style>
  <w:style w:type="paragraph" w:customStyle="1" w:styleId="head2">
    <w:name w:val="head2"/>
    <w:basedOn w:val="Normal"/>
    <w:rsid w:val="000A7F32"/>
    <w:pPr>
      <w:spacing w:line="240" w:lineRule="auto"/>
    </w:pPr>
    <w:rPr>
      <w:rFonts w:ascii="Times New Roman" w:hAnsi="Times New Roman"/>
      <w:b/>
      <w:sz w:val="24"/>
    </w:rPr>
  </w:style>
  <w:style w:type="paragraph" w:customStyle="1" w:styleId="head3">
    <w:name w:val="head3"/>
    <w:basedOn w:val="head2"/>
    <w:rsid w:val="000A7F32"/>
    <w:rPr>
      <w:b w:val="0"/>
    </w:rPr>
  </w:style>
  <w:style w:type="character" w:customStyle="1" w:styleId="Heading2Char">
    <w:name w:val="Heading 2 Char"/>
    <w:link w:val="Heading2"/>
    <w:rsid w:val="001F4591"/>
    <w:rPr>
      <w:rFonts w:ascii="Arial" w:hAnsi="Arial"/>
      <w:b/>
      <w:sz w:val="16"/>
    </w:rPr>
  </w:style>
  <w:style w:type="paragraph" w:styleId="EndnoteText">
    <w:name w:val="endnote text"/>
    <w:basedOn w:val="Normal"/>
    <w:link w:val="EndnoteTextChar"/>
    <w:uiPriority w:val="99"/>
    <w:unhideWhenUsed/>
    <w:rsid w:val="0019428D"/>
    <w:pPr>
      <w:spacing w:line="240" w:lineRule="auto"/>
    </w:pPr>
    <w:rPr>
      <w:rFonts w:ascii="Calibri" w:hAnsi="Calibri"/>
      <w:lang w:val="fi-FI" w:eastAsia="fi-FI"/>
    </w:rPr>
  </w:style>
  <w:style w:type="character" w:customStyle="1" w:styleId="EndnoteTextChar">
    <w:name w:val="Endnote Text Char"/>
    <w:link w:val="EndnoteText"/>
    <w:uiPriority w:val="99"/>
    <w:rsid w:val="0019428D"/>
    <w:rPr>
      <w:rFonts w:ascii="Calibri" w:eastAsia="Times New Roman" w:hAnsi="Calibri" w:cs="Times New Roman"/>
      <w:lang w:val="fi-FI" w:eastAsia="fi-FI"/>
    </w:rPr>
  </w:style>
  <w:style w:type="character" w:styleId="EndnoteReference">
    <w:name w:val="endnote reference"/>
    <w:uiPriority w:val="99"/>
    <w:unhideWhenUsed/>
    <w:rsid w:val="0019428D"/>
    <w:rPr>
      <w:vertAlign w:val="superscript"/>
    </w:rPr>
  </w:style>
  <w:style w:type="character" w:customStyle="1" w:styleId="FooterChar">
    <w:name w:val="Footer Char"/>
    <w:link w:val="Footer"/>
    <w:uiPriority w:val="99"/>
    <w:rsid w:val="004F26A2"/>
    <w:rPr>
      <w:rFonts w:ascii="Arial" w:hAnsi="Arial"/>
    </w:rPr>
  </w:style>
  <w:style w:type="paragraph" w:styleId="BalloonText">
    <w:name w:val="Balloon Text"/>
    <w:basedOn w:val="Normal"/>
    <w:link w:val="BalloonTextChar"/>
    <w:rsid w:val="004F26A2"/>
    <w:pPr>
      <w:spacing w:line="240" w:lineRule="auto"/>
    </w:pPr>
    <w:rPr>
      <w:rFonts w:ascii="Tahoma" w:hAnsi="Tahoma"/>
      <w:sz w:val="16"/>
      <w:szCs w:val="16"/>
    </w:rPr>
  </w:style>
  <w:style w:type="character" w:customStyle="1" w:styleId="BalloonTextChar">
    <w:name w:val="Balloon Text Char"/>
    <w:link w:val="BalloonText"/>
    <w:rsid w:val="004F26A2"/>
    <w:rPr>
      <w:rFonts w:ascii="Tahoma" w:hAnsi="Tahoma" w:cs="Tahoma"/>
      <w:sz w:val="16"/>
      <w:szCs w:val="16"/>
    </w:rPr>
  </w:style>
  <w:style w:type="character" w:styleId="CommentReference">
    <w:name w:val="annotation reference"/>
    <w:rsid w:val="00C726DE"/>
    <w:rPr>
      <w:sz w:val="16"/>
      <w:szCs w:val="16"/>
    </w:rPr>
  </w:style>
  <w:style w:type="paragraph" w:styleId="CommentText">
    <w:name w:val="annotation text"/>
    <w:basedOn w:val="Normal"/>
    <w:link w:val="CommentTextChar"/>
    <w:rsid w:val="00C726DE"/>
  </w:style>
  <w:style w:type="character" w:customStyle="1" w:styleId="CommentTextChar">
    <w:name w:val="Comment Text Char"/>
    <w:link w:val="CommentText"/>
    <w:rsid w:val="00C726DE"/>
    <w:rPr>
      <w:rFonts w:ascii="Arial" w:hAnsi="Arial"/>
    </w:rPr>
  </w:style>
  <w:style w:type="paragraph" w:styleId="CommentSubject">
    <w:name w:val="annotation subject"/>
    <w:basedOn w:val="CommentText"/>
    <w:next w:val="CommentText"/>
    <w:link w:val="CommentSubjectChar"/>
    <w:rsid w:val="00C726DE"/>
    <w:rPr>
      <w:b/>
      <w:bCs/>
    </w:rPr>
  </w:style>
  <w:style w:type="character" w:customStyle="1" w:styleId="CommentSubjectChar">
    <w:name w:val="Comment Subject Char"/>
    <w:link w:val="CommentSubject"/>
    <w:rsid w:val="00C726DE"/>
    <w:rPr>
      <w:rFonts w:ascii="Arial" w:hAnsi="Arial"/>
      <w:b/>
      <w:bCs/>
    </w:rPr>
  </w:style>
  <w:style w:type="paragraph" w:styleId="ListParagraph">
    <w:name w:val="List Paragraph"/>
    <w:basedOn w:val="Normal"/>
    <w:uiPriority w:val="34"/>
    <w:qFormat/>
    <w:rsid w:val="00F12CD1"/>
    <w:pPr>
      <w:ind w:left="720"/>
      <w:contextualSpacing/>
    </w:pPr>
  </w:style>
  <w:style w:type="table" w:styleId="TableGrid">
    <w:name w:val="Table Grid"/>
    <w:basedOn w:val="TableNormal"/>
    <w:rsid w:val="009527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37DE3"/>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291766">
      <w:bodyDiv w:val="1"/>
      <w:marLeft w:val="0"/>
      <w:marRight w:val="0"/>
      <w:marTop w:val="0"/>
      <w:marBottom w:val="0"/>
      <w:divBdr>
        <w:top w:val="none" w:sz="0" w:space="0" w:color="auto"/>
        <w:left w:val="none" w:sz="0" w:space="0" w:color="auto"/>
        <w:bottom w:val="none" w:sz="0" w:space="0" w:color="auto"/>
        <w:right w:val="none" w:sz="0" w:space="0" w:color="auto"/>
      </w:divBdr>
    </w:div>
    <w:div w:id="890506067">
      <w:bodyDiv w:val="1"/>
      <w:marLeft w:val="0"/>
      <w:marRight w:val="0"/>
      <w:marTop w:val="0"/>
      <w:marBottom w:val="0"/>
      <w:divBdr>
        <w:top w:val="none" w:sz="0" w:space="0" w:color="auto"/>
        <w:left w:val="none" w:sz="0" w:space="0" w:color="auto"/>
        <w:bottom w:val="none" w:sz="0" w:space="0" w:color="auto"/>
        <w:right w:val="none" w:sz="0" w:space="0" w:color="auto"/>
      </w:divBdr>
    </w:div>
    <w:div w:id="903610691">
      <w:bodyDiv w:val="1"/>
      <w:marLeft w:val="0"/>
      <w:marRight w:val="0"/>
      <w:marTop w:val="0"/>
      <w:marBottom w:val="0"/>
      <w:divBdr>
        <w:top w:val="none" w:sz="0" w:space="0" w:color="auto"/>
        <w:left w:val="none" w:sz="0" w:space="0" w:color="auto"/>
        <w:bottom w:val="none" w:sz="0" w:space="0" w:color="auto"/>
        <w:right w:val="none" w:sz="0" w:space="0" w:color="auto"/>
      </w:divBdr>
    </w:div>
    <w:div w:id="1014500899">
      <w:bodyDiv w:val="1"/>
      <w:marLeft w:val="0"/>
      <w:marRight w:val="0"/>
      <w:marTop w:val="0"/>
      <w:marBottom w:val="0"/>
      <w:divBdr>
        <w:top w:val="none" w:sz="0" w:space="0" w:color="auto"/>
        <w:left w:val="none" w:sz="0" w:space="0" w:color="auto"/>
        <w:bottom w:val="none" w:sz="0" w:space="0" w:color="auto"/>
        <w:right w:val="none" w:sz="0" w:space="0" w:color="auto"/>
      </w:divBdr>
    </w:div>
    <w:div w:id="109485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actuary.eu" TargetMode="External"/><Relationship Id="rId2" Type="http://schemas.openxmlformats.org/officeDocument/2006/relationships/hyperlink" Target="http://www.actuary.eu" TargetMode="External"/><Relationship Id="rId1" Type="http://schemas.openxmlformats.org/officeDocument/2006/relationships/hyperlink" Target="mailto:info@actuary.eu" TargetMode="External"/><Relationship Id="rId5" Type="http://schemas.openxmlformats.org/officeDocument/2006/relationships/image" Target="media/image1.jpeg"/><Relationship Id="rId4" Type="http://schemas.openxmlformats.org/officeDocument/2006/relationships/hyperlink" Target="http://www.actuary.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AAMKdocs\Keflavik%20BV\OPDRACHTEN\Opdracht%20AAE\Onderhanden%20werk\Letters\ECA2016%20Campbell%20invitation%2014%2003%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ECA2016 Campbell invitation 14 03 2016</Template>
  <TotalTime>1</TotalTime>
  <Pages>4</Pages>
  <Words>1409</Words>
  <Characters>7705</Characters>
  <Application>Microsoft Office Word</Application>
  <DocSecurity>0</DocSecurity>
  <Lines>140</Lines>
  <Paragraphs>74</Paragraphs>
  <ScaleCrop>false</ScaleCrop>
  <HeadingPairs>
    <vt:vector size="2" baseType="variant">
      <vt:variant>
        <vt:lpstr>Title</vt:lpstr>
      </vt:variant>
      <vt:variant>
        <vt:i4>1</vt:i4>
      </vt:variant>
    </vt:vector>
  </HeadingPairs>
  <TitlesOfParts>
    <vt:vector size="1" baseType="lpstr">
      <vt:lpstr>AAE</vt:lpstr>
    </vt:vector>
  </TitlesOfParts>
  <Company>Aon</Company>
  <LinksUpToDate>false</LinksUpToDate>
  <CharactersWithSpaces>9040</CharactersWithSpaces>
  <SharedDoc>false</SharedDoc>
  <HLinks>
    <vt:vector size="18" baseType="variant">
      <vt:variant>
        <vt:i4>2162796</vt:i4>
      </vt:variant>
      <vt:variant>
        <vt:i4>0</vt:i4>
      </vt:variant>
      <vt:variant>
        <vt:i4>0</vt:i4>
      </vt:variant>
      <vt:variant>
        <vt:i4>5</vt:i4>
      </vt:variant>
      <vt:variant>
        <vt:lpwstr>http://www.eca2016.org/</vt:lpwstr>
      </vt:variant>
      <vt:variant>
        <vt:lpwstr/>
      </vt:variant>
      <vt:variant>
        <vt:i4>7077999</vt:i4>
      </vt:variant>
      <vt:variant>
        <vt:i4>3</vt:i4>
      </vt:variant>
      <vt:variant>
        <vt:i4>0</vt:i4>
      </vt:variant>
      <vt:variant>
        <vt:i4>5</vt:i4>
      </vt:variant>
      <vt:variant>
        <vt:lpwstr>http://www.actuary.eu/</vt:lpwstr>
      </vt:variant>
      <vt:variant>
        <vt:lpwstr/>
      </vt:variant>
      <vt:variant>
        <vt:i4>1179683</vt:i4>
      </vt:variant>
      <vt:variant>
        <vt:i4>0</vt:i4>
      </vt:variant>
      <vt:variant>
        <vt:i4>0</vt:i4>
      </vt:variant>
      <vt:variant>
        <vt:i4>5</vt:i4>
      </vt:variant>
      <vt:variant>
        <vt:lpwstr>mailto:info@actuary.eu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AAE</dc:title>
  <dc:creator>Ad Kok</dc:creator>
  <cp:lastModifiedBy>Monique Schuilenburg</cp:lastModifiedBy>
  <cp:revision>3</cp:revision>
  <cp:lastPrinted>2016-03-22T20:51:00Z</cp:lastPrinted>
  <dcterms:created xsi:type="dcterms:W3CDTF">2017-08-22T13:11:00Z</dcterms:created>
  <dcterms:modified xsi:type="dcterms:W3CDTF">2017-08-22T13:12:00Z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